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仿宋_GB2312" w:asciiTheme="minorEastAsia" w:hAnsiTheme="minorEastAsia"/>
          <w:sz w:val="44"/>
          <w:szCs w:val="44"/>
        </w:rPr>
      </w:pPr>
      <w:r>
        <w:rPr>
          <w:rFonts w:hint="eastAsia" w:cs="仿宋_GB2312" w:asciiTheme="minorEastAsia" w:hAnsiTheme="minorEastAsia"/>
          <w:sz w:val="44"/>
          <w:szCs w:val="44"/>
        </w:rPr>
        <w:t>评分办法</w:t>
      </w:r>
    </w:p>
    <w:p>
      <w:pPr>
        <w:jc w:val="center"/>
        <w:rPr>
          <w:rFonts w:cs="仿宋_GB2312" w:asciiTheme="minorEastAsia" w:hAnsiTheme="minorEastAsia"/>
          <w:sz w:val="28"/>
          <w:szCs w:val="28"/>
        </w:rPr>
      </w:pPr>
    </w:p>
    <w:p>
      <w:pPr>
        <w:jc w:val="center"/>
        <w:rPr>
          <w:rFonts w:cs="仿宋_GB2312" w:asciiTheme="minorEastAsia" w:hAnsiTheme="minorEastAsia"/>
          <w:sz w:val="28"/>
          <w:szCs w:val="28"/>
        </w:rPr>
      </w:pPr>
    </w:p>
    <w:p>
      <w:pPr>
        <w:pStyle w:val="9"/>
        <w:ind w:firstLine="0" w:firstLineChars="0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1、本次评标办法采用“综合评估”法，满分100分，其中商务技术部分占50分，价格部分占50分。</w:t>
      </w:r>
    </w:p>
    <w:p>
      <w:pPr>
        <w:pStyle w:val="8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2、评标活动遵循“公开、公平、公正、诚信、择优”的原则进行。</w:t>
      </w:r>
    </w:p>
    <w:p>
      <w:pPr>
        <w:pStyle w:val="8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3、评标小组将综合分析投标人的各项指标，而不以单项指标的优劣评出中标人。</w:t>
      </w:r>
    </w:p>
    <w:p>
      <w:pPr>
        <w:pStyle w:val="9"/>
        <w:ind w:firstLine="0" w:firstLineChars="0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4、评标人对投标文件要求进行符合性评定，经评定符合标准的投标人可进入评标打分阶段，否则为无效标。</w:t>
      </w:r>
    </w:p>
    <w:p>
      <w:pPr>
        <w:pStyle w:val="9"/>
        <w:ind w:firstLine="0" w:firstLineChars="0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5、中标人产生的办法：</w:t>
      </w:r>
    </w:p>
    <w:p>
      <w:pPr>
        <w:pStyle w:val="9"/>
        <w:ind w:left="315" w:firstLine="0" w:firstLineChars="0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①、采用商务技术得分（50分）+价格得分（50分）</w:t>
      </w:r>
    </w:p>
    <w:p>
      <w:pPr>
        <w:ind w:left="315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②、商务技术分按实际打分制计算得分；</w:t>
      </w:r>
    </w:p>
    <w:p>
      <w:pPr>
        <w:ind w:left="315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③、价格部分评分标准(由工作人员统一计算得分)</w:t>
      </w:r>
    </w:p>
    <w:p>
      <w:pPr>
        <w:ind w:left="315" w:firstLine="560" w:firstLineChars="200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评标基准值＝有效投标人最低报价</w:t>
      </w:r>
    </w:p>
    <w:p>
      <w:pPr>
        <w:ind w:left="315" w:firstLine="560" w:firstLineChars="200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新能源车包干价计算方式（各类车型的平均值）共20分</w:t>
      </w:r>
    </w:p>
    <w:p>
      <w:pPr>
        <w:ind w:left="315" w:firstLine="560" w:firstLineChars="200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投标人价格得分=评标基准值/投标人报价×20</w:t>
      </w:r>
    </w:p>
    <w:p>
      <w:pPr>
        <w:ind w:firstLine="840" w:firstLineChars="300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传统车工时费得分计算方式（各类车型的平均值）共10分</w:t>
      </w:r>
    </w:p>
    <w:p>
      <w:pPr>
        <w:spacing w:line="276" w:lineRule="auto"/>
        <w:ind w:firstLine="840" w:firstLineChars="300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投标人价格得分＝评标基准值/投标人报价×10</w:t>
      </w:r>
    </w:p>
    <w:p>
      <w:pPr>
        <w:ind w:left="315" w:firstLine="560" w:firstLineChars="200"/>
        <w:rPr>
          <w:rFonts w:hint="eastAsia" w:cs="仿宋_GB2312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cs="仿宋_GB2312" w:asciiTheme="minorEastAsia" w:hAnsiTheme="minorEastAsia"/>
          <w:color w:val="auto"/>
          <w:sz w:val="28"/>
          <w:szCs w:val="28"/>
        </w:rPr>
        <w:t>大宗物资得分共20分：按评分标准计算</w:t>
      </w:r>
    </w:p>
    <w:p>
      <w:pPr>
        <w:ind w:firstLine="280" w:firstLineChars="100"/>
        <w:rPr>
          <w:rFonts w:cs="仿宋_GB2312" w:asciiTheme="minorEastAsia" w:hAnsiTheme="minorEastAsia"/>
          <w:color w:val="000000" w:themeColor="text1"/>
          <w:sz w:val="28"/>
          <w:szCs w:val="28"/>
        </w:rPr>
      </w:pPr>
      <w:r>
        <w:rPr>
          <w:rFonts w:hint="eastAsia" w:cs="仿宋_GB2312" w:asciiTheme="minorEastAsia" w:hAnsiTheme="minorEastAsia"/>
          <w:color w:val="000000" w:themeColor="text1"/>
          <w:sz w:val="28"/>
          <w:szCs w:val="28"/>
        </w:rPr>
        <w:t>④、商务部分价格部分综合得分最高为中标人</w:t>
      </w:r>
    </w:p>
    <w:p>
      <w:pPr>
        <w:rPr>
          <w:rFonts w:cs="仿宋_GB2312" w:asciiTheme="minorEastAsia" w:hAnsiTheme="minorEastAsia"/>
          <w:sz w:val="28"/>
          <w:szCs w:val="28"/>
        </w:rPr>
      </w:pPr>
    </w:p>
    <w:p>
      <w:pPr>
        <w:rPr>
          <w:rFonts w:cs="仿宋_GB2312" w:asciiTheme="minorEastAsia" w:hAnsiTheme="minorEastAsia"/>
          <w:sz w:val="28"/>
          <w:szCs w:val="28"/>
        </w:rPr>
      </w:pPr>
    </w:p>
    <w:p>
      <w:pPr>
        <w:rPr>
          <w:rFonts w:cs="仿宋_GB2312" w:asciiTheme="minorEastAsia" w:hAnsiTheme="minorEastAsia"/>
          <w:b/>
          <w:sz w:val="28"/>
          <w:szCs w:val="28"/>
        </w:rPr>
      </w:pPr>
      <w:r>
        <w:rPr>
          <w:rFonts w:hint="eastAsia" w:cs="仿宋_GB2312" w:asciiTheme="minorEastAsia" w:hAnsiTheme="minorEastAsia"/>
          <w:b/>
          <w:sz w:val="28"/>
          <w:szCs w:val="28"/>
        </w:rPr>
        <w:t>商务技术部分（50分）</w:t>
      </w:r>
    </w:p>
    <w:tbl>
      <w:tblPr>
        <w:tblStyle w:val="4"/>
        <w:tblW w:w="9073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604"/>
        <w:gridCol w:w="11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评分项目</w:t>
            </w: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最高分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维修资质</w:t>
            </w: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 xml:space="preserve">具有一类客车维修资质得 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 xml:space="preserve">分。 具有二类客车维修资质的得 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分。</w:t>
            </w:r>
          </w:p>
        </w:tc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cs="仿宋_GB2312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</w:rPr>
              <w:t>具有招标人所有运行车辆品牌三包售后服务资质得 3分，差一家扣0.5分</w:t>
            </w:r>
          </w:p>
        </w:tc>
        <w:tc>
          <w:tcPr>
            <w:tcW w:w="11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具有IS09000系列质量认证、安全生产标准化达标等级证明、有关部门方面的表彰奖励证明得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分，缺一扣2分。</w:t>
            </w:r>
          </w:p>
        </w:tc>
        <w:tc>
          <w:tcPr>
            <w:tcW w:w="11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服务承诺</w:t>
            </w:r>
          </w:p>
        </w:tc>
        <w:tc>
          <w:tcPr>
            <w:tcW w:w="6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能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提供无偿紧急救援服务、及时、有专人负责得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 xml:space="preserve"> 3分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达不到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  <w:t>分</w:t>
            </w:r>
            <w:bookmarkStart w:id="0" w:name="_GoBack"/>
            <w:bookmarkEnd w:id="0"/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cs="仿宋_GB2312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能在招标方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维修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站场派驻站维修人员得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达不到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  <w:t>分。</w:t>
            </w:r>
          </w:p>
        </w:tc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能在招标方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维修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站场储备配件得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达不到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  <w:t>分。</w:t>
            </w:r>
          </w:p>
        </w:tc>
        <w:tc>
          <w:tcPr>
            <w:tcW w:w="11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维修场地、设备</w:t>
            </w: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 xml:space="preserve">有自己独立的维修场地得 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达不到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  <w:t>分。</w:t>
            </w:r>
          </w:p>
        </w:tc>
        <w:tc>
          <w:tcPr>
            <w:tcW w:w="11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cs="仿宋_GB2312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default" w:cs="仿宋_GB2312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  <w:t>有必备的检测设备，达到标准得</w:t>
            </w: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  <w:t>分，不达标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得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  <w:t>分。</w:t>
            </w:r>
          </w:p>
        </w:tc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76" w:lineRule="auto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cs="仿宋_GB2312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能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在招标方站场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二级维护作业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取得行业部门审批备案许可，符合二级维护规定，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达不到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  <w:t>分</w:t>
            </w:r>
          </w:p>
        </w:tc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276" w:lineRule="auto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  <w:szCs w:val="24"/>
              </w:rPr>
              <w:t>有自主产权的施救车辆，1辆得1分，最高2分。</w:t>
            </w:r>
          </w:p>
        </w:tc>
        <w:tc>
          <w:tcPr>
            <w:tcW w:w="119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技术资格</w:t>
            </w: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76" w:lineRule="auto"/>
              <w:jc w:val="left"/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有一名高级技工的得0.5分，最多得4分</w:t>
            </w:r>
            <w:r>
              <w:rPr>
                <w:rFonts w:hint="eastAsia" w:cs="仿宋_GB2312" w:asciiTheme="minorEastAsia" w:hAnsiTheme="minorEastAsia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spacing w:line="276" w:lineRule="auto"/>
              <w:jc w:val="left"/>
              <w:rPr>
                <w:rFonts w:hint="default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有一名中级技师的得1分，最多得3分</w:t>
            </w:r>
            <w:r>
              <w:rPr>
                <w:rFonts w:hint="eastAsia" w:cs="仿宋_GB2312" w:asciiTheme="minorEastAsia" w:hAnsiTheme="minorEastAsia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spacing w:line="276" w:lineRule="auto"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有一名高级技师的得1分，最多得3分</w:t>
            </w:r>
            <w:r>
              <w:rPr>
                <w:rFonts w:hint="eastAsia" w:cs="仿宋_GB2312" w:asciiTheme="minorEastAsia" w:hAnsiTheme="minorEastAsia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spacing w:line="276" w:lineRule="auto"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  <w:szCs w:val="24"/>
                <w:lang w:val="en-US" w:eastAsia="zh-CN"/>
              </w:rPr>
              <w:t>以上需含有新能源车辆低压、高压电工证。</w:t>
            </w:r>
          </w:p>
        </w:tc>
        <w:tc>
          <w:tcPr>
            <w:tcW w:w="119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合计得分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tbl>
      <w:tblPr>
        <w:tblStyle w:val="4"/>
        <w:tblpPr w:leftFromText="180" w:rightFromText="180" w:vertAnchor="text" w:horzAnchor="margin" w:tblpY="616"/>
        <w:tblOverlap w:val="never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607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567" w:hRule="atLeast"/>
        </w:trPr>
        <w:tc>
          <w:tcPr>
            <w:tcW w:w="776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8"/>
                <w:szCs w:val="28"/>
              </w:rPr>
              <w:t>价格部分（50）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评分项目</w:t>
            </w:r>
          </w:p>
        </w:tc>
        <w:tc>
          <w:tcPr>
            <w:tcW w:w="6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ind w:firstLine="120" w:firstLineChars="50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最高分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新能源车包干价格报价</w:t>
            </w:r>
          </w:p>
        </w:tc>
        <w:tc>
          <w:tcPr>
            <w:tcW w:w="6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ind w:left="315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投标人价格得分＝评标基准值/投标人报价×20</w:t>
            </w:r>
          </w:p>
          <w:p>
            <w:pPr>
              <w:spacing w:line="276" w:lineRule="auto"/>
              <w:ind w:left="315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（各类车型的平均值）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传统车工时费报价</w:t>
            </w:r>
          </w:p>
        </w:tc>
        <w:tc>
          <w:tcPr>
            <w:tcW w:w="6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ind w:left="315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投标人价格得分＝评标基准值/投标人报价×10</w:t>
            </w:r>
          </w:p>
          <w:p>
            <w:pPr>
              <w:spacing w:line="276" w:lineRule="auto"/>
              <w:ind w:left="315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（各类车型的平均值）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大宗物资报价</w:t>
            </w:r>
          </w:p>
        </w:tc>
        <w:tc>
          <w:tcPr>
            <w:tcW w:w="6076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ind w:left="315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在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市场价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80-90</w:t>
            </w:r>
            <w:r>
              <w:t xml:space="preserve"> 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得20分，在市场价9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-100</w:t>
            </w:r>
            <w:r>
              <w:t xml:space="preserve"> 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  <w:t>%</w:t>
            </w:r>
            <w:r>
              <w:t xml:space="preserve"> 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之间得15分，超出市场价的得10分。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合计得分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417" w:bottom="113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34C4CA"/>
    <w:multiLevelType w:val="singleLevel"/>
    <w:tmpl w:val="0634C4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07CB"/>
    <w:rsid w:val="000049EF"/>
    <w:rsid w:val="000053AC"/>
    <w:rsid w:val="00025392"/>
    <w:rsid w:val="000377FB"/>
    <w:rsid w:val="00092E9A"/>
    <w:rsid w:val="000B43AF"/>
    <w:rsid w:val="0010624C"/>
    <w:rsid w:val="001207C4"/>
    <w:rsid w:val="00133BC4"/>
    <w:rsid w:val="00136838"/>
    <w:rsid w:val="001372E6"/>
    <w:rsid w:val="001401EC"/>
    <w:rsid w:val="00153BA7"/>
    <w:rsid w:val="0017143E"/>
    <w:rsid w:val="0018375B"/>
    <w:rsid w:val="001C6F3D"/>
    <w:rsid w:val="001E0B81"/>
    <w:rsid w:val="002202C0"/>
    <w:rsid w:val="00270218"/>
    <w:rsid w:val="002964CC"/>
    <w:rsid w:val="002C2120"/>
    <w:rsid w:val="002D1AAF"/>
    <w:rsid w:val="002D41B1"/>
    <w:rsid w:val="002E1BAB"/>
    <w:rsid w:val="003103FA"/>
    <w:rsid w:val="0036074E"/>
    <w:rsid w:val="0037726E"/>
    <w:rsid w:val="003B20C4"/>
    <w:rsid w:val="003C7D41"/>
    <w:rsid w:val="003D0500"/>
    <w:rsid w:val="00415361"/>
    <w:rsid w:val="004358BA"/>
    <w:rsid w:val="00436B69"/>
    <w:rsid w:val="00566E59"/>
    <w:rsid w:val="005872A5"/>
    <w:rsid w:val="005A1F28"/>
    <w:rsid w:val="005B4B9E"/>
    <w:rsid w:val="006234FF"/>
    <w:rsid w:val="00623FCA"/>
    <w:rsid w:val="00653DFB"/>
    <w:rsid w:val="00672E8C"/>
    <w:rsid w:val="00685D8F"/>
    <w:rsid w:val="006D356D"/>
    <w:rsid w:val="006E52F7"/>
    <w:rsid w:val="0072035A"/>
    <w:rsid w:val="007B68BD"/>
    <w:rsid w:val="007E5F8D"/>
    <w:rsid w:val="007F472E"/>
    <w:rsid w:val="00827F63"/>
    <w:rsid w:val="00836C89"/>
    <w:rsid w:val="008459AC"/>
    <w:rsid w:val="00887FFC"/>
    <w:rsid w:val="008C450B"/>
    <w:rsid w:val="008E278E"/>
    <w:rsid w:val="008F3489"/>
    <w:rsid w:val="00933CC8"/>
    <w:rsid w:val="009443EA"/>
    <w:rsid w:val="009521FB"/>
    <w:rsid w:val="00967033"/>
    <w:rsid w:val="009744DD"/>
    <w:rsid w:val="009B150F"/>
    <w:rsid w:val="009B4B78"/>
    <w:rsid w:val="009C1BCC"/>
    <w:rsid w:val="009F6329"/>
    <w:rsid w:val="00A72391"/>
    <w:rsid w:val="00AA0F55"/>
    <w:rsid w:val="00AA2717"/>
    <w:rsid w:val="00AB5329"/>
    <w:rsid w:val="00AD1ADF"/>
    <w:rsid w:val="00AE0853"/>
    <w:rsid w:val="00B7695E"/>
    <w:rsid w:val="00BA40AD"/>
    <w:rsid w:val="00BD6549"/>
    <w:rsid w:val="00C051FA"/>
    <w:rsid w:val="00C64512"/>
    <w:rsid w:val="00C73FEE"/>
    <w:rsid w:val="00C91947"/>
    <w:rsid w:val="00CF63F1"/>
    <w:rsid w:val="00D45FF5"/>
    <w:rsid w:val="00D8725B"/>
    <w:rsid w:val="00D907CB"/>
    <w:rsid w:val="00DB1E09"/>
    <w:rsid w:val="00DD1643"/>
    <w:rsid w:val="00DE5DE7"/>
    <w:rsid w:val="00DF6495"/>
    <w:rsid w:val="00E24DE9"/>
    <w:rsid w:val="00E8444D"/>
    <w:rsid w:val="00EC570F"/>
    <w:rsid w:val="00EF6B3A"/>
    <w:rsid w:val="00F03819"/>
    <w:rsid w:val="00F20555"/>
    <w:rsid w:val="00F444CF"/>
    <w:rsid w:val="00F45091"/>
    <w:rsid w:val="00F67584"/>
    <w:rsid w:val="00F72D20"/>
    <w:rsid w:val="00FB1863"/>
    <w:rsid w:val="00FB29AD"/>
    <w:rsid w:val="026D30FA"/>
    <w:rsid w:val="0A92134D"/>
    <w:rsid w:val="0C762CD4"/>
    <w:rsid w:val="0E451BD5"/>
    <w:rsid w:val="15EA028F"/>
    <w:rsid w:val="1C4F709D"/>
    <w:rsid w:val="21F81AE1"/>
    <w:rsid w:val="23CE5C0A"/>
    <w:rsid w:val="338A6A67"/>
    <w:rsid w:val="385F7C36"/>
    <w:rsid w:val="434207AA"/>
    <w:rsid w:val="490B5F77"/>
    <w:rsid w:val="54670785"/>
    <w:rsid w:val="671201D0"/>
    <w:rsid w:val="674548F2"/>
    <w:rsid w:val="6CD1124C"/>
    <w:rsid w:val="777D59E2"/>
    <w:rsid w:val="79F2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149</Words>
  <Characters>850</Characters>
  <Lines>7</Lines>
  <Paragraphs>1</Paragraphs>
  <TotalTime>1</TotalTime>
  <ScaleCrop>false</ScaleCrop>
  <LinksUpToDate>false</LinksUpToDate>
  <CharactersWithSpaces>998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2018-03-16T01:11:00Z</dcterms:created>
  <dc:creator>User</dc:creator>
  <cp:lastModifiedBy>浮生</cp:lastModifiedBy>
  <cp:lastPrinted>2018-03-19T08:58:00Z</cp:lastPrinted>
  <dcterms:modified xsi:type="dcterms:W3CDTF">2022-03-11T03:23:39Z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CFB2B9AB5CFE4778A1D240024BCBCA15</vt:lpwstr>
  </property>
</Properties>
</file>