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A188C">
      <w:pPr>
        <w:adjustRightInd w:val="0"/>
        <w:snapToGrid w:val="0"/>
        <w:spacing w:line="360" w:lineRule="auto"/>
        <w:jc w:val="center"/>
        <w:rPr>
          <w:rFonts w:hint="eastAsia" w:ascii="宋体" w:hAnsi="宋体" w:eastAsia="宋体"/>
          <w:color w:val="FF0000"/>
          <w:kern w:val="0"/>
          <w:sz w:val="32"/>
          <w:szCs w:val="32"/>
          <w:lang w:eastAsia="zh-CN"/>
        </w:rPr>
      </w:pPr>
      <w:bookmarkStart w:id="0" w:name="_Toc23843"/>
      <w:bookmarkStart w:id="1" w:name="_Toc287620665"/>
      <w:r>
        <w:rPr>
          <w:rFonts w:hint="eastAsia" w:ascii="宋体" w:hAnsi="宋体"/>
          <w:kern w:val="0"/>
          <w:sz w:val="32"/>
          <w:szCs w:val="32"/>
          <w:lang w:eastAsia="zh-CN"/>
        </w:rPr>
        <w:t>东城公共交通有限公司二分公司营运车辆轮胎集中采购项目</w:t>
      </w:r>
    </w:p>
    <w:p w14:paraId="0E0166C2">
      <w:pPr>
        <w:adjustRightInd w:val="0"/>
        <w:snapToGrid w:val="0"/>
        <w:spacing w:line="360" w:lineRule="auto"/>
        <w:rPr>
          <w:rFonts w:ascii="宋体" w:hAnsi="宋体"/>
          <w:kern w:val="0"/>
          <w:sz w:val="32"/>
          <w:szCs w:val="32"/>
        </w:rPr>
      </w:pPr>
    </w:p>
    <w:p w14:paraId="183F51FB">
      <w:pPr>
        <w:autoSpaceDE w:val="0"/>
        <w:autoSpaceDN w:val="0"/>
        <w:adjustRightInd w:val="0"/>
        <w:snapToGrid w:val="0"/>
        <w:spacing w:line="360" w:lineRule="auto"/>
        <w:jc w:val="left"/>
        <w:rPr>
          <w:rFonts w:ascii="宋体" w:hAnsi="宋体"/>
          <w:kern w:val="0"/>
          <w:sz w:val="20"/>
          <w:szCs w:val="20"/>
        </w:rPr>
      </w:pPr>
    </w:p>
    <w:p w14:paraId="3520C591">
      <w:pPr>
        <w:autoSpaceDE w:val="0"/>
        <w:autoSpaceDN w:val="0"/>
        <w:adjustRightInd w:val="0"/>
        <w:snapToGrid w:val="0"/>
        <w:spacing w:line="360" w:lineRule="auto"/>
        <w:jc w:val="left"/>
        <w:rPr>
          <w:rFonts w:ascii="宋体" w:hAnsi="宋体"/>
          <w:kern w:val="0"/>
          <w:sz w:val="20"/>
          <w:szCs w:val="20"/>
        </w:rPr>
      </w:pPr>
    </w:p>
    <w:p w14:paraId="1642D80D">
      <w:pPr>
        <w:autoSpaceDE w:val="0"/>
        <w:autoSpaceDN w:val="0"/>
        <w:adjustRightInd w:val="0"/>
        <w:snapToGrid w:val="0"/>
        <w:spacing w:line="360" w:lineRule="auto"/>
        <w:jc w:val="left"/>
        <w:rPr>
          <w:rFonts w:ascii="宋体" w:hAnsi="宋体"/>
          <w:kern w:val="0"/>
          <w:sz w:val="20"/>
          <w:szCs w:val="20"/>
        </w:rPr>
      </w:pPr>
    </w:p>
    <w:p w14:paraId="6BF08C39">
      <w:pPr>
        <w:autoSpaceDE w:val="0"/>
        <w:autoSpaceDN w:val="0"/>
        <w:adjustRightInd w:val="0"/>
        <w:snapToGrid w:val="0"/>
        <w:spacing w:line="360" w:lineRule="auto"/>
        <w:jc w:val="left"/>
        <w:rPr>
          <w:rFonts w:ascii="宋体" w:hAnsi="宋体"/>
          <w:kern w:val="0"/>
          <w:sz w:val="20"/>
          <w:szCs w:val="20"/>
        </w:rPr>
      </w:pPr>
    </w:p>
    <w:p w14:paraId="47771FAD">
      <w:pPr>
        <w:autoSpaceDE w:val="0"/>
        <w:autoSpaceDN w:val="0"/>
        <w:adjustRightInd w:val="0"/>
        <w:snapToGrid w:val="0"/>
        <w:spacing w:line="360" w:lineRule="auto"/>
        <w:jc w:val="left"/>
        <w:rPr>
          <w:rFonts w:ascii="宋体" w:hAnsi="宋体"/>
          <w:kern w:val="0"/>
          <w:sz w:val="20"/>
          <w:szCs w:val="20"/>
        </w:rPr>
      </w:pPr>
    </w:p>
    <w:p w14:paraId="67A0B47C">
      <w:pPr>
        <w:autoSpaceDE w:val="0"/>
        <w:autoSpaceDN w:val="0"/>
        <w:adjustRightInd w:val="0"/>
        <w:snapToGrid w:val="0"/>
        <w:spacing w:line="360" w:lineRule="auto"/>
        <w:jc w:val="left"/>
        <w:rPr>
          <w:rFonts w:ascii="宋体" w:hAnsi="宋体"/>
          <w:kern w:val="0"/>
          <w:sz w:val="20"/>
          <w:szCs w:val="20"/>
        </w:rPr>
      </w:pPr>
    </w:p>
    <w:p w14:paraId="6E83AFCF">
      <w:pPr>
        <w:autoSpaceDE w:val="0"/>
        <w:autoSpaceDN w:val="0"/>
        <w:adjustRightInd w:val="0"/>
        <w:snapToGrid w:val="0"/>
        <w:spacing w:line="360" w:lineRule="auto"/>
        <w:jc w:val="center"/>
        <w:rPr>
          <w:rFonts w:ascii="宋体" w:hAnsi="宋体"/>
          <w:b/>
          <w:kern w:val="0"/>
          <w:sz w:val="72"/>
          <w:szCs w:val="72"/>
        </w:rPr>
      </w:pPr>
      <w:r>
        <w:rPr>
          <w:rFonts w:hint="eastAsia" w:ascii="宋体" w:hAnsi="宋体" w:eastAsia="宋体" w:cs="Times New Roman"/>
          <w:b/>
          <w:kern w:val="0"/>
          <w:sz w:val="72"/>
          <w:szCs w:val="72"/>
          <w:lang w:val="en-US" w:eastAsia="zh-CN"/>
        </w:rPr>
        <w:t>邀</w:t>
      </w:r>
      <w:r>
        <w:rPr>
          <w:rFonts w:hint="eastAsia" w:ascii="宋体" w:hAnsi="宋体" w:eastAsia="宋体" w:cs="Times New Roman"/>
          <w:b/>
          <w:kern w:val="0"/>
          <w:sz w:val="72"/>
          <w:szCs w:val="72"/>
        </w:rPr>
        <w:t xml:space="preserve"> </w:t>
      </w:r>
      <w:r>
        <w:rPr>
          <w:rFonts w:hint="eastAsia" w:ascii="宋体" w:hAnsi="宋体" w:eastAsia="宋体" w:cs="Times New Roman"/>
          <w:b/>
          <w:kern w:val="0"/>
          <w:sz w:val="72"/>
          <w:szCs w:val="72"/>
          <w:lang w:val="en-US" w:eastAsia="zh-CN"/>
        </w:rPr>
        <w:t>标</w:t>
      </w:r>
      <w:r>
        <w:rPr>
          <w:rFonts w:hint="eastAsia" w:ascii="宋体" w:hAnsi="宋体" w:eastAsia="宋体" w:cs="Times New Roman"/>
          <w:b/>
          <w:kern w:val="0"/>
          <w:sz w:val="72"/>
          <w:szCs w:val="72"/>
        </w:rPr>
        <w:t xml:space="preserve"> </w:t>
      </w:r>
      <w:r>
        <w:rPr>
          <w:rFonts w:ascii="宋体" w:hAnsi="宋体"/>
          <w:b/>
          <w:kern w:val="0"/>
          <w:sz w:val="72"/>
          <w:szCs w:val="72"/>
        </w:rPr>
        <w:t>文</w:t>
      </w:r>
      <w:r>
        <w:rPr>
          <w:rFonts w:hint="eastAsia" w:ascii="宋体" w:hAnsi="宋体"/>
          <w:b/>
          <w:kern w:val="0"/>
          <w:sz w:val="72"/>
          <w:szCs w:val="72"/>
        </w:rPr>
        <w:t xml:space="preserve"> </w:t>
      </w:r>
      <w:r>
        <w:rPr>
          <w:rFonts w:ascii="宋体" w:hAnsi="宋体"/>
          <w:b/>
          <w:kern w:val="0"/>
          <w:sz w:val="72"/>
          <w:szCs w:val="72"/>
        </w:rPr>
        <w:t>件</w:t>
      </w:r>
    </w:p>
    <w:p w14:paraId="364F069E">
      <w:pPr>
        <w:tabs>
          <w:tab w:val="left" w:pos="6219"/>
        </w:tabs>
        <w:autoSpaceDE w:val="0"/>
        <w:autoSpaceDN w:val="0"/>
        <w:adjustRightInd w:val="0"/>
        <w:snapToGrid w:val="0"/>
        <w:spacing w:line="360" w:lineRule="auto"/>
        <w:jc w:val="left"/>
        <w:rPr>
          <w:rFonts w:ascii="宋体" w:hAnsi="宋体" w:cs="楷体_GB2312"/>
          <w:b/>
          <w:kern w:val="0"/>
          <w:sz w:val="30"/>
          <w:szCs w:val="30"/>
        </w:rPr>
      </w:pPr>
    </w:p>
    <w:p w14:paraId="1E6D4AAE">
      <w:pPr>
        <w:pStyle w:val="2"/>
        <w:adjustRightInd w:val="0"/>
        <w:snapToGrid w:val="0"/>
        <w:spacing w:after="0" w:line="360" w:lineRule="auto"/>
        <w:rPr>
          <w:rFonts w:ascii="宋体" w:hAnsi="宋体"/>
        </w:rPr>
      </w:pPr>
    </w:p>
    <w:p w14:paraId="098E5912">
      <w:pPr>
        <w:pStyle w:val="2"/>
        <w:adjustRightInd w:val="0"/>
        <w:snapToGrid w:val="0"/>
        <w:spacing w:after="0" w:line="360" w:lineRule="auto"/>
        <w:rPr>
          <w:rFonts w:ascii="宋体" w:hAnsi="宋体"/>
        </w:rPr>
      </w:pPr>
    </w:p>
    <w:p w14:paraId="3CAE68E6">
      <w:pPr>
        <w:pStyle w:val="2"/>
        <w:adjustRightInd w:val="0"/>
        <w:snapToGrid w:val="0"/>
        <w:spacing w:after="0" w:line="360" w:lineRule="auto"/>
        <w:rPr>
          <w:rFonts w:ascii="宋体" w:hAnsi="宋体"/>
        </w:rPr>
      </w:pPr>
    </w:p>
    <w:p w14:paraId="2CB4FAE9">
      <w:pPr>
        <w:pStyle w:val="2"/>
        <w:adjustRightInd w:val="0"/>
        <w:snapToGrid w:val="0"/>
        <w:spacing w:after="0" w:line="360" w:lineRule="auto"/>
        <w:rPr>
          <w:rFonts w:ascii="宋体" w:hAnsi="宋体"/>
        </w:rPr>
      </w:pPr>
    </w:p>
    <w:p w14:paraId="3A9D4233">
      <w:pPr>
        <w:pStyle w:val="2"/>
        <w:adjustRightInd w:val="0"/>
        <w:snapToGrid w:val="0"/>
        <w:spacing w:after="0" w:line="360" w:lineRule="auto"/>
        <w:rPr>
          <w:rFonts w:ascii="宋体" w:hAnsi="宋体"/>
        </w:rPr>
      </w:pPr>
    </w:p>
    <w:p w14:paraId="115E517E">
      <w:pPr>
        <w:pStyle w:val="2"/>
        <w:adjustRightInd w:val="0"/>
        <w:snapToGrid w:val="0"/>
        <w:spacing w:after="0" w:line="360" w:lineRule="auto"/>
        <w:rPr>
          <w:rFonts w:ascii="宋体" w:hAnsi="宋体"/>
        </w:rPr>
      </w:pPr>
    </w:p>
    <w:p w14:paraId="2A9C7E20">
      <w:pPr>
        <w:pStyle w:val="2"/>
        <w:adjustRightInd w:val="0"/>
        <w:snapToGrid w:val="0"/>
        <w:spacing w:after="0" w:line="360" w:lineRule="auto"/>
        <w:rPr>
          <w:rFonts w:ascii="宋体" w:hAnsi="宋体"/>
        </w:rPr>
      </w:pPr>
    </w:p>
    <w:p w14:paraId="13BB850D">
      <w:pPr>
        <w:pStyle w:val="2"/>
        <w:adjustRightInd w:val="0"/>
        <w:snapToGrid w:val="0"/>
        <w:spacing w:after="0" w:line="360" w:lineRule="auto"/>
        <w:rPr>
          <w:rFonts w:ascii="宋体" w:hAnsi="宋体"/>
        </w:rPr>
      </w:pPr>
    </w:p>
    <w:p w14:paraId="744B3684">
      <w:pPr>
        <w:pStyle w:val="2"/>
        <w:adjustRightInd w:val="0"/>
        <w:snapToGrid w:val="0"/>
        <w:spacing w:after="0" w:line="360" w:lineRule="auto"/>
        <w:rPr>
          <w:rFonts w:ascii="宋体" w:hAnsi="宋体"/>
        </w:rPr>
      </w:pPr>
    </w:p>
    <w:p w14:paraId="0BBEA672">
      <w:pPr>
        <w:pStyle w:val="2"/>
        <w:adjustRightInd w:val="0"/>
        <w:snapToGrid w:val="0"/>
        <w:spacing w:after="0" w:line="360" w:lineRule="auto"/>
        <w:rPr>
          <w:rFonts w:ascii="宋体" w:hAnsi="宋体"/>
        </w:rPr>
      </w:pPr>
    </w:p>
    <w:p w14:paraId="6B7A1B0B">
      <w:pPr>
        <w:pStyle w:val="2"/>
        <w:adjustRightInd w:val="0"/>
        <w:snapToGrid w:val="0"/>
        <w:spacing w:after="0" w:line="360" w:lineRule="auto"/>
        <w:rPr>
          <w:rFonts w:ascii="宋体" w:hAnsi="宋体"/>
        </w:rPr>
      </w:pPr>
    </w:p>
    <w:p w14:paraId="1FCAAE98">
      <w:pPr>
        <w:tabs>
          <w:tab w:val="left" w:pos="6219"/>
        </w:tabs>
        <w:autoSpaceDE w:val="0"/>
        <w:autoSpaceDN w:val="0"/>
        <w:adjustRightInd w:val="0"/>
        <w:snapToGrid w:val="0"/>
        <w:spacing w:line="360" w:lineRule="auto"/>
        <w:jc w:val="center"/>
        <w:rPr>
          <w:rFonts w:hint="eastAsia" w:ascii="宋体" w:hAnsi="宋体"/>
          <w:b/>
          <w:bCs/>
          <w:kern w:val="0"/>
          <w:sz w:val="28"/>
          <w:szCs w:val="28"/>
          <w:u w:val="single"/>
        </w:rPr>
      </w:pPr>
      <w:r>
        <w:rPr>
          <w:rFonts w:hint="eastAsia" w:ascii="宋体" w:hAnsi="宋体"/>
          <w:b/>
          <w:bCs/>
          <w:kern w:val="0"/>
          <w:sz w:val="28"/>
          <w:szCs w:val="28"/>
          <w:lang w:val="en-US" w:eastAsia="zh-CN"/>
        </w:rPr>
        <w:t xml:space="preserve"> </w:t>
      </w:r>
      <w:r>
        <w:rPr>
          <w:rFonts w:hint="eastAsia" w:ascii="宋体" w:hAnsi="宋体"/>
          <w:b/>
          <w:bCs/>
          <w:kern w:val="0"/>
          <w:sz w:val="28"/>
          <w:szCs w:val="28"/>
          <w:lang w:eastAsia="zh-CN"/>
        </w:rPr>
        <w:t>招</w:t>
      </w:r>
      <w:r>
        <w:rPr>
          <w:rFonts w:hint="eastAsia" w:ascii="宋体" w:hAnsi="宋体"/>
          <w:b/>
          <w:bCs/>
          <w:kern w:val="0"/>
          <w:sz w:val="28"/>
          <w:szCs w:val="28"/>
        </w:rPr>
        <w:t xml:space="preserve">   </w:t>
      </w:r>
      <w:r>
        <w:rPr>
          <w:rFonts w:hint="eastAsia" w:ascii="宋体" w:hAnsi="宋体"/>
          <w:b/>
          <w:bCs/>
          <w:kern w:val="0"/>
          <w:sz w:val="28"/>
          <w:szCs w:val="28"/>
          <w:lang w:eastAsia="zh-CN"/>
        </w:rPr>
        <w:t>标</w:t>
      </w:r>
      <w:r>
        <w:rPr>
          <w:rFonts w:hint="eastAsia" w:ascii="宋体" w:hAnsi="宋体"/>
          <w:b/>
          <w:bCs/>
          <w:kern w:val="0"/>
          <w:sz w:val="28"/>
          <w:szCs w:val="28"/>
        </w:rPr>
        <w:t xml:space="preserve">  </w:t>
      </w:r>
      <w:r>
        <w:rPr>
          <w:rFonts w:ascii="宋体" w:hAnsi="宋体"/>
          <w:b/>
          <w:bCs/>
          <w:kern w:val="0"/>
          <w:sz w:val="28"/>
          <w:szCs w:val="28"/>
        </w:rPr>
        <w:t>人：</w:t>
      </w:r>
      <w:r>
        <w:rPr>
          <w:rFonts w:hint="eastAsia" w:ascii="宋体" w:hAnsi="宋体"/>
          <w:b/>
          <w:bCs/>
          <w:kern w:val="0"/>
          <w:sz w:val="28"/>
          <w:szCs w:val="28"/>
          <w:u w:val="single"/>
        </w:rPr>
        <w:t>重庆东城公共交通有限公司二分公司</w:t>
      </w:r>
      <w:r>
        <w:rPr>
          <w:rFonts w:ascii="宋体" w:hAnsi="宋体"/>
          <w:b/>
          <w:bCs/>
          <w:kern w:val="0"/>
          <w:sz w:val="28"/>
          <w:szCs w:val="28"/>
        </w:rPr>
        <w:t>（盖</w:t>
      </w:r>
      <w:r>
        <w:rPr>
          <w:rFonts w:hint="eastAsia" w:ascii="宋体" w:hAnsi="宋体"/>
          <w:b/>
          <w:bCs/>
          <w:kern w:val="0"/>
          <w:sz w:val="28"/>
          <w:szCs w:val="28"/>
        </w:rPr>
        <w:t>单位公</w:t>
      </w:r>
      <w:r>
        <w:rPr>
          <w:rFonts w:ascii="宋体" w:hAnsi="宋体"/>
          <w:b/>
          <w:bCs/>
          <w:kern w:val="0"/>
          <w:sz w:val="28"/>
          <w:szCs w:val="28"/>
        </w:rPr>
        <w:t>章）</w:t>
      </w:r>
    </w:p>
    <w:p w14:paraId="114AE790">
      <w:pPr>
        <w:tabs>
          <w:tab w:val="left" w:pos="6219"/>
        </w:tabs>
        <w:autoSpaceDE w:val="0"/>
        <w:autoSpaceDN w:val="0"/>
        <w:adjustRightInd w:val="0"/>
        <w:snapToGrid w:val="0"/>
        <w:spacing w:line="360" w:lineRule="auto"/>
        <w:jc w:val="center"/>
        <w:rPr>
          <w:rFonts w:ascii="宋体" w:hAnsi="宋体"/>
          <w:b/>
          <w:bCs/>
          <w:kern w:val="0"/>
          <w:sz w:val="28"/>
          <w:szCs w:val="28"/>
          <w:u w:val="single"/>
        </w:rPr>
      </w:pPr>
      <w:r>
        <w:rPr>
          <w:rFonts w:hint="eastAsia" w:ascii="宋体" w:hAnsi="宋体"/>
          <w:b/>
          <w:bCs/>
          <w:kern w:val="0"/>
          <w:sz w:val="28"/>
          <w:szCs w:val="28"/>
          <w:lang w:eastAsia="zh-CN"/>
        </w:rPr>
        <w:t>招标</w:t>
      </w:r>
      <w:r>
        <w:rPr>
          <w:rFonts w:ascii="宋体" w:hAnsi="宋体"/>
          <w:b/>
          <w:bCs/>
          <w:kern w:val="0"/>
          <w:sz w:val="28"/>
          <w:szCs w:val="28"/>
        </w:rPr>
        <w:t>代理机构：</w:t>
      </w:r>
      <w:r>
        <w:rPr>
          <w:rFonts w:hint="eastAsia" w:ascii="宋体" w:hAnsi="宋体"/>
          <w:b/>
          <w:bCs/>
          <w:kern w:val="0"/>
          <w:sz w:val="28"/>
          <w:szCs w:val="28"/>
          <w:u w:val="single"/>
          <w:lang w:val="en-US" w:eastAsia="zh-CN"/>
        </w:rPr>
        <w:t xml:space="preserve"> 正信伟业工程咨询管理有限公司 </w:t>
      </w:r>
      <w:r>
        <w:rPr>
          <w:rFonts w:ascii="宋体" w:hAnsi="宋体"/>
          <w:b/>
          <w:bCs/>
          <w:kern w:val="0"/>
          <w:sz w:val="28"/>
          <w:szCs w:val="28"/>
        </w:rPr>
        <w:t>（盖</w:t>
      </w:r>
      <w:r>
        <w:rPr>
          <w:rFonts w:hint="eastAsia" w:ascii="宋体" w:hAnsi="宋体"/>
          <w:b/>
          <w:bCs/>
          <w:kern w:val="0"/>
          <w:sz w:val="28"/>
          <w:szCs w:val="28"/>
        </w:rPr>
        <w:t>单位公</w:t>
      </w:r>
      <w:r>
        <w:rPr>
          <w:rFonts w:ascii="宋体" w:hAnsi="宋体"/>
          <w:b/>
          <w:bCs/>
          <w:kern w:val="0"/>
          <w:sz w:val="28"/>
          <w:szCs w:val="28"/>
        </w:rPr>
        <w:t>章）</w:t>
      </w:r>
    </w:p>
    <w:p w14:paraId="2EA182AC">
      <w:pPr>
        <w:tabs>
          <w:tab w:val="left" w:pos="6219"/>
        </w:tabs>
        <w:autoSpaceDE w:val="0"/>
        <w:autoSpaceDN w:val="0"/>
        <w:adjustRightInd w:val="0"/>
        <w:snapToGrid w:val="0"/>
        <w:spacing w:line="360" w:lineRule="auto"/>
        <w:jc w:val="center"/>
        <w:rPr>
          <w:rFonts w:hint="eastAsia" w:ascii="宋体" w:hAnsi="宋体"/>
          <w:b/>
          <w:bCs/>
          <w:kern w:val="0"/>
          <w:sz w:val="28"/>
          <w:szCs w:val="28"/>
        </w:rPr>
      </w:pPr>
    </w:p>
    <w:p w14:paraId="3FF7C92C">
      <w:pPr>
        <w:tabs>
          <w:tab w:val="left" w:pos="6219"/>
        </w:tabs>
        <w:autoSpaceDE w:val="0"/>
        <w:autoSpaceDN w:val="0"/>
        <w:adjustRightInd w:val="0"/>
        <w:snapToGrid w:val="0"/>
        <w:spacing w:line="360" w:lineRule="auto"/>
        <w:jc w:val="center"/>
        <w:rPr>
          <w:rFonts w:ascii="宋体" w:hAnsi="宋体"/>
          <w:w w:val="99"/>
          <w:kern w:val="0"/>
          <w:sz w:val="24"/>
        </w:rPr>
        <w:sectPr>
          <w:pgSz w:w="11907" w:h="16840"/>
          <w:pgMar w:top="1304" w:right="1304" w:bottom="1304" w:left="1304" w:header="851" w:footer="992" w:gutter="0"/>
          <w:pgNumType w:fmt="numberInDash" w:start="1"/>
          <w:cols w:space="720" w:num="1"/>
          <w:docGrid w:linePitch="312" w:charSpace="0"/>
        </w:sectPr>
      </w:pPr>
      <w:r>
        <w:rPr>
          <w:rFonts w:hint="eastAsia" w:ascii="宋体" w:hAnsi="宋体"/>
          <w:b/>
          <w:bCs/>
          <w:kern w:val="0"/>
          <w:sz w:val="28"/>
          <w:szCs w:val="28"/>
          <w:u w:val="single"/>
          <w:lang w:val="en-US" w:eastAsia="zh-CN"/>
        </w:rPr>
        <w:t xml:space="preserve"> 2025 </w:t>
      </w:r>
      <w:r>
        <w:rPr>
          <w:rFonts w:hint="eastAsia" w:ascii="宋体" w:hAnsi="宋体"/>
          <w:b/>
          <w:bCs/>
          <w:kern w:val="0"/>
          <w:sz w:val="28"/>
          <w:szCs w:val="28"/>
        </w:rPr>
        <w:t>年</w:t>
      </w:r>
      <w:r>
        <w:rPr>
          <w:rFonts w:hint="eastAsia" w:ascii="宋体" w:hAnsi="宋体"/>
          <w:b/>
          <w:bCs/>
          <w:kern w:val="0"/>
          <w:sz w:val="28"/>
          <w:szCs w:val="28"/>
          <w:u w:val="single"/>
          <w:lang w:val="en-US" w:eastAsia="zh-CN"/>
        </w:rPr>
        <w:t xml:space="preserve"> 3 </w:t>
      </w:r>
      <w:r>
        <w:rPr>
          <w:rFonts w:hint="eastAsia" w:ascii="宋体" w:hAnsi="宋体"/>
          <w:b/>
          <w:bCs/>
          <w:kern w:val="0"/>
          <w:sz w:val="28"/>
          <w:szCs w:val="28"/>
        </w:rPr>
        <w:t>月</w:t>
      </w:r>
    </w:p>
    <w:p w14:paraId="7D52A20C">
      <w:pPr>
        <w:rPr>
          <w:rFonts w:ascii="宋体" w:hAnsi="宋体"/>
          <w:color w:val="auto"/>
          <w:sz w:val="44"/>
          <w:szCs w:val="44"/>
          <w:highlight w:val="none"/>
          <w:lang w:val="zh-CN"/>
        </w:rPr>
      </w:pPr>
    </w:p>
    <w:p w14:paraId="4E95EEEE">
      <w:pPr>
        <w:adjustRightInd w:val="0"/>
        <w:snapToGrid w:val="0"/>
        <w:spacing w:line="360" w:lineRule="auto"/>
        <w:jc w:val="center"/>
        <w:rPr>
          <w:rFonts w:ascii="宋体" w:hAnsi="宋体"/>
          <w:color w:val="auto"/>
          <w:sz w:val="44"/>
          <w:szCs w:val="44"/>
          <w:highlight w:val="none"/>
        </w:rPr>
      </w:pPr>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0"/>
    </w:p>
    <w:p w14:paraId="5E676283">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Fonts w:ascii="宋体" w:hAnsi="宋体"/>
          <w:color w:val="auto"/>
          <w:highlight w:val="none"/>
        </w:rPr>
        <w:fldChar w:fldCharType="begin"/>
      </w:r>
      <w:r>
        <w:rPr>
          <w:rFonts w:ascii="宋体" w:hAnsi="宋体"/>
          <w:color w:val="auto"/>
          <w:highlight w:val="none"/>
        </w:rPr>
        <w:instrText xml:space="preserve"> TOC \o "1-3" \h \z \u </w:instrText>
      </w:r>
      <w:r>
        <w:rPr>
          <w:rFonts w:ascii="宋体" w:hAnsi="宋体"/>
          <w:color w:val="auto"/>
          <w:highlight w:val="none"/>
        </w:rPr>
        <w:fldChar w:fldCharType="separate"/>
      </w: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kern w:val="0"/>
          <w:highlight w:val="none"/>
        </w:rPr>
        <w:t xml:space="preserve">第一章  </w:t>
      </w:r>
      <w:r>
        <w:rPr>
          <w:rStyle w:val="56"/>
          <w:rFonts w:hint="eastAsia" w:ascii="宋体" w:hAnsi="宋体"/>
          <w:snapToGrid w:val="0"/>
          <w:color w:val="auto"/>
          <w:kern w:val="0"/>
          <w:highlight w:val="none"/>
          <w:lang w:eastAsia="zh-CN"/>
        </w:rPr>
        <w:t>招标公告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_Toc177985645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5AAF9ABB">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一、</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条件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_Toc177985646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40960541">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二、项目概况和</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范围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_Toc177985647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4EAF70BA">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三、</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资格要求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_Toc177985648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0AF647DC">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"_Toc177985649"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四、</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文件的获取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_Toc177985649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28093F55">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五、</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_Toc177985650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56"/>
          <w:rFonts w:hint="eastAsia"/>
          <w:color w:val="auto"/>
          <w:highlight w:val="none"/>
        </w:rPr>
        <w:fldChar w:fldCharType="end"/>
      </w:r>
    </w:p>
    <w:p w14:paraId="2E562EEC">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六、开标时间及地点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_Toc177985651 \h</w:instrText>
      </w:r>
      <w:r>
        <w:rPr>
          <w:rFonts w:hint="eastAsia"/>
          <w:color w:val="auto"/>
          <w:highlight w:val="none"/>
        </w:rPr>
        <w:instrText xml:space="preserve"> </w:instrText>
      </w:r>
      <w:r>
        <w:rPr>
          <w:color w:val="auto"/>
          <w:highlight w:val="none"/>
        </w:rPr>
        <w:fldChar w:fldCharType="separate"/>
      </w:r>
      <w:r>
        <w:rPr>
          <w:color w:val="auto"/>
          <w:highlight w:val="none"/>
        </w:rPr>
        <w:t>2</w:t>
      </w:r>
      <w:r>
        <w:rPr>
          <w:rFonts w:hint="eastAsia"/>
          <w:color w:val="auto"/>
          <w:highlight w:val="none"/>
        </w:rPr>
        <w:fldChar w:fldCharType="end"/>
      </w:r>
      <w:r>
        <w:rPr>
          <w:rStyle w:val="56"/>
          <w:rFonts w:hint="eastAsia"/>
          <w:color w:val="auto"/>
          <w:highlight w:val="none"/>
        </w:rPr>
        <w:fldChar w:fldCharType="end"/>
      </w:r>
    </w:p>
    <w:p w14:paraId="6AA6E4A0">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七、其他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_Toc177985652 \h</w:instrText>
      </w:r>
      <w:r>
        <w:rPr>
          <w:rFonts w:hint="eastAsia"/>
          <w:color w:val="auto"/>
          <w:highlight w:val="none"/>
        </w:rPr>
        <w:instrText xml:space="preserve"> </w:instrText>
      </w:r>
      <w:r>
        <w:rPr>
          <w:color w:val="auto"/>
          <w:highlight w:val="none"/>
        </w:rPr>
        <w:fldChar w:fldCharType="separate"/>
      </w:r>
      <w:r>
        <w:rPr>
          <w:color w:val="auto"/>
          <w:highlight w:val="none"/>
        </w:rPr>
        <w:t>2</w:t>
      </w:r>
      <w:r>
        <w:rPr>
          <w:rFonts w:hint="eastAsia"/>
          <w:color w:val="auto"/>
          <w:highlight w:val="none"/>
        </w:rPr>
        <w:fldChar w:fldCharType="end"/>
      </w:r>
      <w:r>
        <w:rPr>
          <w:rStyle w:val="56"/>
          <w:rFonts w:hint="eastAsia"/>
          <w:color w:val="auto"/>
          <w:highlight w:val="none"/>
        </w:rPr>
        <w:fldChar w:fldCharType="end"/>
      </w:r>
    </w:p>
    <w:p w14:paraId="23035AE7">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八、监督部门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_Toc177985653 \h</w:instrText>
      </w:r>
      <w:r>
        <w:rPr>
          <w:rFonts w:hint="eastAsia"/>
          <w:color w:val="auto"/>
          <w:highlight w:val="none"/>
        </w:rPr>
        <w:instrText xml:space="preserve"> </w:instrText>
      </w:r>
      <w:r>
        <w:rPr>
          <w:color w:val="auto"/>
          <w:highlight w:val="none"/>
        </w:rPr>
        <w:fldChar w:fldCharType="separate"/>
      </w:r>
      <w:r>
        <w:rPr>
          <w:color w:val="auto"/>
          <w:highlight w:val="none"/>
        </w:rPr>
        <w:t>2</w:t>
      </w:r>
      <w:r>
        <w:rPr>
          <w:rFonts w:hint="eastAsia"/>
          <w:color w:val="auto"/>
          <w:highlight w:val="none"/>
        </w:rPr>
        <w:fldChar w:fldCharType="end"/>
      </w:r>
      <w:r>
        <w:rPr>
          <w:rStyle w:val="56"/>
          <w:rFonts w:hint="eastAsia"/>
          <w:color w:val="auto"/>
          <w:highlight w:val="none"/>
        </w:rPr>
        <w:fldChar w:fldCharType="end"/>
      </w:r>
    </w:p>
    <w:p w14:paraId="5D6B152F">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九、联系方式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_Toc177985654 \h</w:instrText>
      </w:r>
      <w:r>
        <w:rPr>
          <w:rFonts w:hint="eastAsia"/>
          <w:color w:val="auto"/>
          <w:highlight w:val="none"/>
        </w:rPr>
        <w:instrText xml:space="preserve"> </w:instrText>
      </w:r>
      <w:r>
        <w:rPr>
          <w:color w:val="auto"/>
          <w:highlight w:val="none"/>
        </w:rPr>
        <w:fldChar w:fldCharType="separate"/>
      </w:r>
      <w:r>
        <w:rPr>
          <w:color w:val="auto"/>
          <w:highlight w:val="none"/>
        </w:rPr>
        <w:t>2</w:t>
      </w:r>
      <w:r>
        <w:rPr>
          <w:rFonts w:hint="eastAsia"/>
          <w:color w:val="auto"/>
          <w:highlight w:val="none"/>
        </w:rPr>
        <w:fldChar w:fldCharType="end"/>
      </w:r>
      <w:r>
        <w:rPr>
          <w:rStyle w:val="56"/>
          <w:rFonts w:hint="eastAsia"/>
          <w:color w:val="auto"/>
          <w:highlight w:val="none"/>
        </w:rPr>
        <w:fldChar w:fldCharType="end"/>
      </w:r>
    </w:p>
    <w:p w14:paraId="5618EC20">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kern w:val="0"/>
          <w:highlight w:val="none"/>
        </w:rPr>
        <w:t xml:space="preserve">第二章  </w:t>
      </w:r>
      <w:r>
        <w:rPr>
          <w:rStyle w:val="56"/>
          <w:rFonts w:hint="eastAsia" w:ascii="宋体" w:hAnsi="宋体"/>
          <w:snapToGrid w:val="0"/>
          <w:color w:val="auto"/>
          <w:kern w:val="0"/>
          <w:highlight w:val="none"/>
          <w:lang w:eastAsia="zh-CN"/>
        </w:rPr>
        <w:t>投标人</w:t>
      </w:r>
      <w:r>
        <w:rPr>
          <w:rStyle w:val="56"/>
          <w:rFonts w:hint="eastAsia" w:ascii="宋体" w:hAnsi="宋体"/>
          <w:snapToGrid w:val="0"/>
          <w:color w:val="auto"/>
          <w:kern w:val="0"/>
          <w:highlight w:val="none"/>
        </w:rPr>
        <w:t>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_Toc177985655 \h</w:instrText>
      </w:r>
      <w:r>
        <w:rPr>
          <w:rFonts w:hint="eastAsia"/>
          <w:color w:val="auto"/>
          <w:highlight w:val="none"/>
        </w:rPr>
        <w:instrText xml:space="preserve"> </w:instrText>
      </w:r>
      <w:r>
        <w:rPr>
          <w:color w:val="auto"/>
          <w:highlight w:val="none"/>
        </w:rPr>
        <w:fldChar w:fldCharType="separate"/>
      </w:r>
      <w:r>
        <w:rPr>
          <w:color w:val="auto"/>
          <w:highlight w:val="none"/>
        </w:rPr>
        <w:t>3</w:t>
      </w:r>
      <w:r>
        <w:rPr>
          <w:rFonts w:hint="eastAsia"/>
          <w:color w:val="auto"/>
          <w:highlight w:val="none"/>
        </w:rPr>
        <w:fldChar w:fldCharType="end"/>
      </w:r>
      <w:r>
        <w:rPr>
          <w:rStyle w:val="56"/>
          <w:rFonts w:hint="eastAsia"/>
          <w:color w:val="auto"/>
          <w:highlight w:val="none"/>
        </w:rPr>
        <w:fldChar w:fldCharType="end"/>
      </w:r>
    </w:p>
    <w:p w14:paraId="2452F7A6">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lang w:eastAsia="zh-CN"/>
        </w:rPr>
        <w:t>投标人</w:t>
      </w:r>
      <w:r>
        <w:rPr>
          <w:rStyle w:val="56"/>
          <w:rFonts w:hint="eastAsia" w:ascii="宋体" w:hAnsi="宋体"/>
          <w:color w:val="auto"/>
          <w:highlight w:val="none"/>
        </w:rPr>
        <w:t>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_Toc177985656 \h</w:instrText>
      </w:r>
      <w:r>
        <w:rPr>
          <w:rFonts w:hint="eastAsia"/>
          <w:color w:val="auto"/>
          <w:highlight w:val="none"/>
        </w:rPr>
        <w:instrText xml:space="preserve"> </w:instrText>
      </w:r>
      <w:r>
        <w:rPr>
          <w:color w:val="auto"/>
          <w:highlight w:val="none"/>
        </w:rPr>
        <w:fldChar w:fldCharType="separate"/>
      </w:r>
      <w:r>
        <w:rPr>
          <w:color w:val="auto"/>
          <w:highlight w:val="none"/>
        </w:rPr>
        <w:t>3</w:t>
      </w:r>
      <w:r>
        <w:rPr>
          <w:rFonts w:hint="eastAsia"/>
          <w:color w:val="auto"/>
          <w:highlight w:val="none"/>
        </w:rPr>
        <w:fldChar w:fldCharType="end"/>
      </w:r>
      <w:r>
        <w:rPr>
          <w:rStyle w:val="56"/>
          <w:rFonts w:hint="eastAsia"/>
          <w:color w:val="auto"/>
          <w:highlight w:val="none"/>
        </w:rPr>
        <w:fldChar w:fldCharType="end"/>
      </w:r>
    </w:p>
    <w:p w14:paraId="71B22BD2">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  总则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_Toc177985657 \h</w:instrText>
      </w:r>
      <w:r>
        <w:rPr>
          <w:rFonts w:hint="eastAsia"/>
          <w:color w:val="auto"/>
          <w:highlight w:val="none"/>
        </w:rPr>
        <w:instrText xml:space="preserve"> </w:instrText>
      </w:r>
      <w:r>
        <w:rPr>
          <w:color w:val="auto"/>
          <w:highlight w:val="none"/>
        </w:rPr>
        <w:fldChar w:fldCharType="separate"/>
      </w:r>
      <w:r>
        <w:rPr>
          <w:color w:val="auto"/>
          <w:highlight w:val="none"/>
        </w:rPr>
        <w:t>11</w:t>
      </w:r>
      <w:r>
        <w:rPr>
          <w:rFonts w:hint="eastAsia"/>
          <w:color w:val="auto"/>
          <w:highlight w:val="none"/>
        </w:rPr>
        <w:fldChar w:fldCharType="end"/>
      </w:r>
      <w:r>
        <w:rPr>
          <w:rStyle w:val="56"/>
          <w:rFonts w:hint="eastAsia"/>
          <w:color w:val="auto"/>
          <w:highlight w:val="none"/>
        </w:rPr>
        <w:fldChar w:fldCharType="end"/>
      </w:r>
    </w:p>
    <w:p w14:paraId="26C20DC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1.1  项目概况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_Toc177985658 \h</w:instrText>
      </w:r>
      <w:r>
        <w:rPr>
          <w:rFonts w:hint="eastAsia"/>
          <w:color w:val="auto"/>
          <w:highlight w:val="none"/>
        </w:rPr>
        <w:instrText xml:space="preserve"> </w:instrText>
      </w:r>
      <w:r>
        <w:rPr>
          <w:color w:val="auto"/>
          <w:highlight w:val="none"/>
        </w:rPr>
        <w:fldChar w:fldCharType="separate"/>
      </w:r>
      <w:r>
        <w:rPr>
          <w:color w:val="auto"/>
          <w:highlight w:val="none"/>
        </w:rPr>
        <w:t>11</w:t>
      </w:r>
      <w:r>
        <w:rPr>
          <w:rFonts w:hint="eastAsia"/>
          <w:color w:val="auto"/>
          <w:highlight w:val="none"/>
        </w:rPr>
        <w:fldChar w:fldCharType="end"/>
      </w:r>
      <w:r>
        <w:rPr>
          <w:rStyle w:val="56"/>
          <w:rFonts w:hint="eastAsia"/>
          <w:color w:val="auto"/>
          <w:highlight w:val="none"/>
        </w:rPr>
        <w:fldChar w:fldCharType="end"/>
      </w:r>
    </w:p>
    <w:p w14:paraId="48C77F1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"_Toc177985659"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1.2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项目的资金来源和落实情况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_Toc177985659 \h</w:instrText>
      </w:r>
      <w:r>
        <w:rPr>
          <w:rFonts w:hint="eastAsia"/>
          <w:color w:val="auto"/>
          <w:highlight w:val="none"/>
        </w:rPr>
        <w:instrText xml:space="preserve"> </w:instrText>
      </w:r>
      <w:r>
        <w:rPr>
          <w:color w:val="auto"/>
          <w:highlight w:val="none"/>
        </w:rPr>
        <w:fldChar w:fldCharType="separate"/>
      </w:r>
      <w:r>
        <w:rPr>
          <w:color w:val="auto"/>
          <w:highlight w:val="none"/>
        </w:rPr>
        <w:t>11</w:t>
      </w:r>
      <w:r>
        <w:rPr>
          <w:rFonts w:hint="eastAsia"/>
          <w:color w:val="auto"/>
          <w:highlight w:val="none"/>
        </w:rPr>
        <w:fldChar w:fldCharType="end"/>
      </w:r>
      <w:r>
        <w:rPr>
          <w:rStyle w:val="56"/>
          <w:rFonts w:hint="eastAsia"/>
          <w:color w:val="auto"/>
          <w:highlight w:val="none"/>
        </w:rPr>
        <w:fldChar w:fldCharType="end"/>
      </w:r>
    </w:p>
    <w:p w14:paraId="47B4546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1.3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范围、交货期限和质量标准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_Toc177985660 \h</w:instrText>
      </w:r>
      <w:r>
        <w:rPr>
          <w:rFonts w:hint="eastAsia"/>
          <w:color w:val="auto"/>
          <w:highlight w:val="none"/>
        </w:rPr>
        <w:instrText xml:space="preserve"> </w:instrText>
      </w:r>
      <w:r>
        <w:rPr>
          <w:color w:val="auto"/>
          <w:highlight w:val="none"/>
        </w:rPr>
        <w:fldChar w:fldCharType="separate"/>
      </w:r>
      <w:r>
        <w:rPr>
          <w:color w:val="auto"/>
          <w:highlight w:val="none"/>
        </w:rPr>
        <w:t>11</w:t>
      </w:r>
      <w:r>
        <w:rPr>
          <w:rFonts w:hint="eastAsia"/>
          <w:color w:val="auto"/>
          <w:highlight w:val="none"/>
        </w:rPr>
        <w:fldChar w:fldCharType="end"/>
      </w:r>
      <w:r>
        <w:rPr>
          <w:rStyle w:val="56"/>
          <w:rFonts w:hint="eastAsia"/>
          <w:color w:val="auto"/>
          <w:highlight w:val="none"/>
        </w:rPr>
        <w:fldChar w:fldCharType="end"/>
      </w:r>
    </w:p>
    <w:p w14:paraId="00BF0F6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1.4A  </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资格要求（适用于已进行资格预审的）</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_Toc177985661 \h</w:instrText>
      </w:r>
      <w:r>
        <w:rPr>
          <w:rFonts w:hint="eastAsia"/>
          <w:color w:val="auto"/>
          <w:highlight w:val="none"/>
        </w:rPr>
        <w:instrText xml:space="preserve"> </w:instrText>
      </w:r>
      <w:r>
        <w:rPr>
          <w:color w:val="auto"/>
          <w:highlight w:val="none"/>
        </w:rPr>
        <w:fldChar w:fldCharType="separate"/>
      </w:r>
      <w:r>
        <w:rPr>
          <w:color w:val="auto"/>
          <w:highlight w:val="none"/>
        </w:rPr>
        <w:t>11</w:t>
      </w:r>
      <w:r>
        <w:rPr>
          <w:rFonts w:hint="eastAsia"/>
          <w:color w:val="auto"/>
          <w:highlight w:val="none"/>
        </w:rPr>
        <w:fldChar w:fldCharType="end"/>
      </w:r>
      <w:r>
        <w:rPr>
          <w:rStyle w:val="56"/>
          <w:rFonts w:hint="eastAsia"/>
          <w:color w:val="auto"/>
          <w:highlight w:val="none"/>
        </w:rPr>
        <w:fldChar w:fldCharType="end"/>
      </w:r>
    </w:p>
    <w:p w14:paraId="0FE9F13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1.4B  </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资格要求（适用于未进行资格预审的）</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_Toc177985662 \h</w:instrText>
      </w:r>
      <w:r>
        <w:rPr>
          <w:rFonts w:hint="eastAsia"/>
          <w:color w:val="auto"/>
          <w:highlight w:val="none"/>
        </w:rPr>
        <w:instrText xml:space="preserve"> </w:instrText>
      </w:r>
      <w:r>
        <w:rPr>
          <w:color w:val="auto"/>
          <w:highlight w:val="none"/>
        </w:rPr>
        <w:fldChar w:fldCharType="separate"/>
      </w:r>
      <w:r>
        <w:rPr>
          <w:color w:val="auto"/>
          <w:highlight w:val="none"/>
        </w:rPr>
        <w:t>11</w:t>
      </w:r>
      <w:r>
        <w:rPr>
          <w:rFonts w:hint="eastAsia"/>
          <w:color w:val="auto"/>
          <w:highlight w:val="none"/>
        </w:rPr>
        <w:fldChar w:fldCharType="end"/>
      </w:r>
      <w:r>
        <w:rPr>
          <w:rStyle w:val="56"/>
          <w:rFonts w:hint="eastAsia"/>
          <w:color w:val="auto"/>
          <w:highlight w:val="none"/>
        </w:rPr>
        <w:fldChar w:fldCharType="end"/>
      </w:r>
    </w:p>
    <w:p w14:paraId="7AB33CE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1.5  费用承担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_Toc177985663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47764169">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1.6  保密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_Toc177985664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16F15DD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1.7  语言文字</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_Toc177985665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6BB08EF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1.8  计量单位</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_Toc177985666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498453F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1.9  踏勘现场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_Toc177985667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33CA74BC">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1.10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预备会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_Toc177985668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58A2F067">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"_Toc177985669"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1.11  分包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_Toc177985669 \h</w:instrText>
      </w:r>
      <w:r>
        <w:rPr>
          <w:rFonts w:hint="eastAsia"/>
          <w:color w:val="auto"/>
          <w:highlight w:val="none"/>
        </w:rPr>
        <w:instrText xml:space="preserve"> </w:instrText>
      </w:r>
      <w:r>
        <w:rPr>
          <w:color w:val="auto"/>
          <w:highlight w:val="none"/>
        </w:rPr>
        <w:fldChar w:fldCharType="separate"/>
      </w:r>
      <w:r>
        <w:rPr>
          <w:color w:val="auto"/>
          <w:highlight w:val="none"/>
        </w:rPr>
        <w:t>12</w:t>
      </w:r>
      <w:r>
        <w:rPr>
          <w:rFonts w:hint="eastAsia"/>
          <w:color w:val="auto"/>
          <w:highlight w:val="none"/>
        </w:rPr>
        <w:fldChar w:fldCharType="end"/>
      </w:r>
      <w:r>
        <w:rPr>
          <w:rStyle w:val="56"/>
          <w:rFonts w:hint="eastAsia"/>
          <w:color w:val="auto"/>
          <w:highlight w:val="none"/>
        </w:rPr>
        <w:fldChar w:fldCharType="end"/>
      </w:r>
    </w:p>
    <w:p w14:paraId="600ED267">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1.12  响应和偏离</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_Toc177985670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582F3C39">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_Toc177985671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05C15278">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2.1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文件的组成</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_Toc177985672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29E7065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2.2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文件的澄清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_Toc177985673 \h</w:instrText>
      </w:r>
      <w:r>
        <w:rPr>
          <w:rFonts w:hint="eastAsia"/>
          <w:color w:val="auto"/>
          <w:highlight w:val="none"/>
        </w:rPr>
        <w:instrText xml:space="preserve"> </w:instrText>
      </w:r>
      <w:r>
        <w:rPr>
          <w:color w:val="auto"/>
          <w:highlight w:val="none"/>
        </w:rPr>
        <w:fldChar w:fldCharType="separate"/>
      </w:r>
      <w:r>
        <w:rPr>
          <w:color w:val="auto"/>
          <w:highlight w:val="none"/>
        </w:rPr>
        <w:t>13</w:t>
      </w:r>
      <w:r>
        <w:rPr>
          <w:rFonts w:hint="eastAsia"/>
          <w:color w:val="auto"/>
          <w:highlight w:val="none"/>
        </w:rPr>
        <w:fldChar w:fldCharType="end"/>
      </w:r>
      <w:r>
        <w:rPr>
          <w:rStyle w:val="56"/>
          <w:rFonts w:hint="eastAsia"/>
          <w:color w:val="auto"/>
          <w:highlight w:val="none"/>
        </w:rPr>
        <w:fldChar w:fldCharType="end"/>
      </w:r>
    </w:p>
    <w:p w14:paraId="1501655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2.3  </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文件的修改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_Toc177985674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5F8BA053">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  </w:t>
      </w:r>
      <w:r>
        <w:rPr>
          <w:rStyle w:val="56"/>
          <w:rFonts w:hint="eastAsia" w:ascii="宋体" w:hAnsi="宋体"/>
          <w:snapToGrid w:val="0"/>
          <w:color w:val="auto"/>
          <w:highlight w:val="none"/>
          <w:lang w:eastAsia="zh-CN"/>
        </w:rPr>
        <w:t>投标文件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_Toc177985675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601C903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3.1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的组成</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_Toc177985676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0D369F3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3.2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报价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_Toc177985677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169F361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3.3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有效期</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_Toc177985678 \h</w:instrText>
      </w:r>
      <w:r>
        <w:rPr>
          <w:rFonts w:hint="eastAsia"/>
          <w:color w:val="auto"/>
          <w:highlight w:val="none"/>
        </w:rPr>
        <w:instrText xml:space="preserve"> </w:instrText>
      </w:r>
      <w:r>
        <w:rPr>
          <w:color w:val="auto"/>
          <w:highlight w:val="none"/>
        </w:rPr>
        <w:fldChar w:fldCharType="separate"/>
      </w:r>
      <w:r>
        <w:rPr>
          <w:color w:val="auto"/>
          <w:highlight w:val="none"/>
        </w:rPr>
        <w:t>14</w:t>
      </w:r>
      <w:r>
        <w:rPr>
          <w:rFonts w:hint="eastAsia"/>
          <w:color w:val="auto"/>
          <w:highlight w:val="none"/>
        </w:rPr>
        <w:fldChar w:fldCharType="end"/>
      </w:r>
      <w:r>
        <w:rPr>
          <w:rStyle w:val="56"/>
          <w:rFonts w:hint="eastAsia"/>
          <w:color w:val="auto"/>
          <w:highlight w:val="none"/>
        </w:rPr>
        <w:fldChar w:fldCharType="end"/>
      </w:r>
    </w:p>
    <w:p w14:paraId="5014B0DC">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"_Toc177985679"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3.4  </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保证金</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_Toc177985679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513C3A3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3.5A  资格审查资料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_Toc177985680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0D0C268A">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3.5B  资格审查资料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_Toc177985681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55E2478F">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3.6  备选</w:t>
      </w:r>
      <w:r>
        <w:rPr>
          <w:rStyle w:val="56"/>
          <w:rFonts w:hint="eastAsia" w:ascii="宋体" w:hAnsi="宋体"/>
          <w:snapToGrid w:val="0"/>
          <w:color w:val="auto"/>
          <w:highlight w:val="none"/>
          <w:lang w:eastAsia="zh-CN"/>
        </w:rPr>
        <w:t>投标</w:t>
      </w:r>
      <w:r>
        <w:rPr>
          <w:rStyle w:val="56"/>
          <w:rFonts w:hint="eastAsia" w:ascii="宋体" w:hAnsi="宋体"/>
          <w:snapToGrid w:val="0"/>
          <w:color w:val="auto"/>
          <w:highlight w:val="none"/>
        </w:rPr>
        <w:t>方案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_Toc177985682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17B0F9A0">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3.7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的编制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_Toc177985683 \h</w:instrText>
      </w:r>
      <w:r>
        <w:rPr>
          <w:rFonts w:hint="eastAsia"/>
          <w:color w:val="auto"/>
          <w:highlight w:val="none"/>
        </w:rPr>
        <w:instrText xml:space="preserve"> </w:instrText>
      </w:r>
      <w:r>
        <w:rPr>
          <w:color w:val="auto"/>
          <w:highlight w:val="none"/>
        </w:rPr>
        <w:fldChar w:fldCharType="separate"/>
      </w:r>
      <w:r>
        <w:rPr>
          <w:color w:val="auto"/>
          <w:highlight w:val="none"/>
        </w:rPr>
        <w:t>15</w:t>
      </w:r>
      <w:r>
        <w:rPr>
          <w:rFonts w:hint="eastAsia"/>
          <w:color w:val="auto"/>
          <w:highlight w:val="none"/>
        </w:rPr>
        <w:fldChar w:fldCharType="end"/>
      </w:r>
      <w:r>
        <w:rPr>
          <w:rStyle w:val="56"/>
          <w:rFonts w:hint="eastAsia"/>
          <w:color w:val="auto"/>
          <w:highlight w:val="none"/>
        </w:rPr>
        <w:fldChar w:fldCharType="end"/>
      </w:r>
    </w:p>
    <w:p w14:paraId="427CA032">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  </w:t>
      </w:r>
      <w:r>
        <w:rPr>
          <w:rStyle w:val="56"/>
          <w:rFonts w:hint="eastAsia" w:ascii="宋体" w:hAnsi="宋体"/>
          <w:snapToGrid w:val="0"/>
          <w:color w:val="auto"/>
          <w:highlight w:val="none"/>
          <w:lang w:eastAsia="zh-CN"/>
        </w:rPr>
        <w:t>投标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_Toc177985684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365CCD13">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4.1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的密封和标记</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_Toc177985685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0E192C2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4.2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_Toc177985686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7257146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4.3  </w:t>
      </w:r>
      <w:r>
        <w:rPr>
          <w:rStyle w:val="56"/>
          <w:rFonts w:hint="eastAsia" w:ascii="宋体" w:hAnsi="宋体"/>
          <w:snapToGrid w:val="0"/>
          <w:color w:val="auto"/>
          <w:highlight w:val="none"/>
          <w:lang w:eastAsia="zh-CN"/>
        </w:rPr>
        <w:t>投标文件</w:t>
      </w:r>
      <w:r>
        <w:rPr>
          <w:rStyle w:val="56"/>
          <w:rFonts w:hint="eastAsia" w:ascii="宋体" w:hAnsi="宋体"/>
          <w:snapToGrid w:val="0"/>
          <w:color w:val="auto"/>
          <w:highlight w:val="none"/>
        </w:rPr>
        <w:t>的修改与撤回</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_Toc177985687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75CF2A61">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  开标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_Toc177985688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0E8A28A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"_Toc177985689"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5.1  开标时间和地点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_Toc177985689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15FAF66A">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5.2  开标程序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_Toc177985690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40A6FB1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5.3  开标异议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_Toc177985691 \h</w:instrText>
      </w:r>
      <w:r>
        <w:rPr>
          <w:rFonts w:hint="eastAsia"/>
          <w:color w:val="auto"/>
          <w:highlight w:val="none"/>
        </w:rPr>
        <w:instrText xml:space="preserve"> </w:instrText>
      </w:r>
      <w:r>
        <w:rPr>
          <w:color w:val="auto"/>
          <w:highlight w:val="none"/>
        </w:rPr>
        <w:fldChar w:fldCharType="separate"/>
      </w:r>
      <w:r>
        <w:rPr>
          <w:color w:val="auto"/>
          <w:highlight w:val="none"/>
        </w:rPr>
        <w:t>16</w:t>
      </w:r>
      <w:r>
        <w:rPr>
          <w:rFonts w:hint="eastAsia"/>
          <w:color w:val="auto"/>
          <w:highlight w:val="none"/>
        </w:rPr>
        <w:fldChar w:fldCharType="end"/>
      </w:r>
      <w:r>
        <w:rPr>
          <w:rStyle w:val="56"/>
          <w:rFonts w:hint="eastAsia"/>
          <w:color w:val="auto"/>
          <w:highlight w:val="none"/>
        </w:rPr>
        <w:fldChar w:fldCharType="end"/>
      </w:r>
    </w:p>
    <w:p w14:paraId="22417445">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  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_Toc177985692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65796AD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6.1  评标委员会</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_Toc177985693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4B90FF26">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6.2  评标原则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_Toc177985694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78809818">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6.3  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_Toc177985695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259EAC63">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  合同授予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_Toc177985696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37674F6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7.1  </w:t>
      </w:r>
      <w:r>
        <w:rPr>
          <w:rStyle w:val="56"/>
          <w:rFonts w:hint="eastAsia" w:ascii="宋体" w:hAnsi="宋体"/>
          <w:snapToGrid w:val="0"/>
          <w:color w:val="auto"/>
          <w:highlight w:val="none"/>
          <w:lang w:eastAsia="zh-CN"/>
        </w:rPr>
        <w:t>中标</w:t>
      </w:r>
      <w:r>
        <w:rPr>
          <w:rStyle w:val="56"/>
          <w:rFonts w:hint="eastAsia" w:ascii="宋体" w:hAnsi="宋体"/>
          <w:snapToGrid w:val="0"/>
          <w:color w:val="auto"/>
          <w:highlight w:val="none"/>
        </w:rPr>
        <w:t>候选人公示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_Toc177985697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5939953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7.2  评标结果异议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_Toc177985698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6E654E40">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"_Toc177985699"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7.3  </w:t>
      </w:r>
      <w:r>
        <w:rPr>
          <w:rStyle w:val="56"/>
          <w:rFonts w:hint="eastAsia" w:ascii="宋体" w:hAnsi="宋体"/>
          <w:snapToGrid w:val="0"/>
          <w:color w:val="auto"/>
          <w:highlight w:val="none"/>
          <w:lang w:eastAsia="zh-CN"/>
        </w:rPr>
        <w:t>中标</w:t>
      </w:r>
      <w:r>
        <w:rPr>
          <w:rStyle w:val="56"/>
          <w:rFonts w:hint="eastAsia" w:ascii="宋体" w:hAnsi="宋体"/>
          <w:snapToGrid w:val="0"/>
          <w:color w:val="auto"/>
          <w:highlight w:val="none"/>
        </w:rPr>
        <w:t>候选人履约能力审查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_Toc177985699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274CC8B9">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7.4  定标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_Toc177985700 \h</w:instrText>
      </w:r>
      <w:r>
        <w:rPr>
          <w:rFonts w:hint="eastAsia"/>
          <w:color w:val="auto"/>
          <w:highlight w:val="none"/>
        </w:rPr>
        <w:instrText xml:space="preserve"> </w:instrText>
      </w:r>
      <w:r>
        <w:rPr>
          <w:color w:val="auto"/>
          <w:highlight w:val="none"/>
        </w:rPr>
        <w:fldChar w:fldCharType="separate"/>
      </w:r>
      <w:r>
        <w:rPr>
          <w:color w:val="auto"/>
          <w:highlight w:val="none"/>
        </w:rPr>
        <w:t>17</w:t>
      </w:r>
      <w:r>
        <w:rPr>
          <w:rFonts w:hint="eastAsia"/>
          <w:color w:val="auto"/>
          <w:highlight w:val="none"/>
        </w:rPr>
        <w:fldChar w:fldCharType="end"/>
      </w:r>
      <w:r>
        <w:rPr>
          <w:rStyle w:val="56"/>
          <w:rFonts w:hint="eastAsia"/>
          <w:color w:val="auto"/>
          <w:highlight w:val="none"/>
        </w:rPr>
        <w:fldChar w:fldCharType="end"/>
      </w:r>
    </w:p>
    <w:p w14:paraId="5ABA8EB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 xml:space="preserve">7.5  </w:t>
      </w:r>
      <w:r>
        <w:rPr>
          <w:rStyle w:val="56"/>
          <w:rFonts w:hint="eastAsia" w:ascii="宋体" w:hAnsi="宋体"/>
          <w:snapToGrid w:val="0"/>
          <w:color w:val="auto"/>
          <w:highlight w:val="none"/>
          <w:lang w:eastAsia="zh-CN"/>
        </w:rPr>
        <w:t>中标</w:t>
      </w:r>
      <w:r>
        <w:rPr>
          <w:rStyle w:val="56"/>
          <w:rFonts w:hint="eastAsia" w:ascii="宋体" w:hAnsi="宋体"/>
          <w:snapToGrid w:val="0"/>
          <w:color w:val="auto"/>
          <w:highlight w:val="none"/>
        </w:rPr>
        <w:t>通知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_Toc177985701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453D34E8">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7.6  技术成果经济补偿</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_Toc177985702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6D622944">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7.7  履约担保</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_Toc177985703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6724F92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7.8  签订合同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_Toc177985704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1BCC3FE3">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8.  重新</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和不再</w:t>
      </w:r>
      <w:r>
        <w:rPr>
          <w:rStyle w:val="56"/>
          <w:rFonts w:hint="eastAsia" w:ascii="宋体" w:hAnsi="宋体"/>
          <w:snapToGrid w:val="0"/>
          <w:color w:val="auto"/>
          <w:highlight w:val="none"/>
          <w:lang w:eastAsia="zh-CN"/>
        </w:rPr>
        <w:t>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_Toc177985705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77B8C45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8.1  重新</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的情形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_Toc177985706 \h</w:instrText>
      </w:r>
      <w:r>
        <w:rPr>
          <w:rFonts w:hint="eastAsia"/>
          <w:color w:val="auto"/>
          <w:highlight w:val="none"/>
        </w:rPr>
        <w:instrText xml:space="preserve"> </w:instrText>
      </w:r>
      <w:r>
        <w:rPr>
          <w:color w:val="auto"/>
          <w:highlight w:val="none"/>
        </w:rPr>
        <w:fldChar w:fldCharType="separate"/>
      </w:r>
      <w:r>
        <w:rPr>
          <w:color w:val="auto"/>
          <w:highlight w:val="none"/>
        </w:rPr>
        <w:t>18</w:t>
      </w:r>
      <w:r>
        <w:rPr>
          <w:rFonts w:hint="eastAsia"/>
          <w:color w:val="auto"/>
          <w:highlight w:val="none"/>
        </w:rPr>
        <w:fldChar w:fldCharType="end"/>
      </w:r>
      <w:r>
        <w:rPr>
          <w:rStyle w:val="56"/>
          <w:rFonts w:hint="eastAsia"/>
          <w:color w:val="auto"/>
          <w:highlight w:val="none"/>
        </w:rPr>
        <w:fldChar w:fldCharType="end"/>
      </w:r>
    </w:p>
    <w:p w14:paraId="6EA294DB">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8.2  重新</w:t>
      </w:r>
      <w:r>
        <w:rPr>
          <w:rStyle w:val="56"/>
          <w:rFonts w:hint="eastAsia" w:ascii="宋体" w:hAnsi="宋体"/>
          <w:snapToGrid w:val="0"/>
          <w:color w:val="auto"/>
          <w:highlight w:val="none"/>
          <w:lang w:eastAsia="zh-CN"/>
        </w:rPr>
        <w:t>招标</w:t>
      </w:r>
      <w:r>
        <w:rPr>
          <w:rStyle w:val="56"/>
          <w:rFonts w:hint="eastAsia" w:ascii="宋体" w:hAnsi="宋体"/>
          <w:snapToGrid w:val="0"/>
          <w:color w:val="auto"/>
          <w:highlight w:val="none"/>
        </w:rPr>
        <w:t>和不再</w:t>
      </w:r>
      <w:r>
        <w:rPr>
          <w:rStyle w:val="56"/>
          <w:rFonts w:hint="eastAsia" w:ascii="宋体" w:hAnsi="宋体"/>
          <w:snapToGrid w:val="0"/>
          <w:color w:val="auto"/>
          <w:highlight w:val="none"/>
          <w:lang w:eastAsia="zh-CN"/>
        </w:rPr>
        <w:t>招标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_Toc177985707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6A0294D8">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  纪律和监督</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_Toc177985708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306D717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"_Toc177985709"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9.1  对</w:t>
      </w:r>
      <w:r>
        <w:rPr>
          <w:rStyle w:val="56"/>
          <w:rFonts w:hint="eastAsia" w:ascii="宋体" w:hAnsi="宋体"/>
          <w:snapToGrid w:val="0"/>
          <w:color w:val="auto"/>
          <w:highlight w:val="none"/>
          <w:lang w:eastAsia="zh-CN"/>
        </w:rPr>
        <w:t>招标人</w:t>
      </w:r>
      <w:r>
        <w:rPr>
          <w:rStyle w:val="56"/>
          <w:rFonts w:hint="eastAsia" w:ascii="宋体" w:hAnsi="宋体"/>
          <w:snapToGrid w:val="0"/>
          <w:color w:val="auto"/>
          <w:highlight w:val="none"/>
        </w:rPr>
        <w:t>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_Toc177985709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13FF99F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9.2  对</w:t>
      </w:r>
      <w:r>
        <w:rPr>
          <w:rStyle w:val="56"/>
          <w:rFonts w:hint="eastAsia" w:ascii="宋体" w:hAnsi="宋体"/>
          <w:snapToGrid w:val="0"/>
          <w:color w:val="auto"/>
          <w:highlight w:val="none"/>
          <w:lang w:eastAsia="zh-CN"/>
        </w:rPr>
        <w:t>投标人</w:t>
      </w:r>
      <w:r>
        <w:rPr>
          <w:rStyle w:val="56"/>
          <w:rFonts w:hint="eastAsia" w:ascii="宋体" w:hAnsi="宋体"/>
          <w:snapToGrid w:val="0"/>
          <w:color w:val="auto"/>
          <w:highlight w:val="none"/>
        </w:rPr>
        <w:t>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_Toc177985710 \h</w:instrText>
      </w:r>
      <w:r>
        <w:rPr>
          <w:rFonts w:hint="eastAsia"/>
          <w:color w:val="auto"/>
          <w:highlight w:val="none"/>
        </w:rPr>
        <w:instrText xml:space="preserve"> </w:instrText>
      </w:r>
      <w:r>
        <w:rPr>
          <w:color w:val="auto"/>
          <w:highlight w:val="none"/>
        </w:rPr>
        <w:fldChar w:fldCharType="separate"/>
      </w:r>
      <w:r>
        <w:rPr>
          <w:color w:val="auto"/>
          <w:highlight w:val="none"/>
        </w:rPr>
        <w:t>19</w:t>
      </w:r>
      <w:r>
        <w:rPr>
          <w:rFonts w:hint="eastAsia"/>
          <w:color w:val="auto"/>
          <w:highlight w:val="none"/>
        </w:rPr>
        <w:fldChar w:fldCharType="end"/>
      </w:r>
      <w:r>
        <w:rPr>
          <w:rStyle w:val="56"/>
          <w:rFonts w:hint="eastAsia"/>
          <w:color w:val="auto"/>
          <w:highlight w:val="none"/>
        </w:rPr>
        <w:fldChar w:fldCharType="end"/>
      </w:r>
    </w:p>
    <w:p w14:paraId="5A0519B9">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9.3  对评标委员会成员的纪律要求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_Toc177985711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44759D7A">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9.4  对与评标活动有关的工作人员的纪律要求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_Toc177985712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1F2ACE5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9.5  投诉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_Toc177985713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0222D32E">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snapToGrid w:val="0"/>
          <w:color w:val="auto"/>
          <w:highlight w:val="none"/>
        </w:rPr>
        <w:t>10. 需要补充的其他内容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_Toc177985714 \h</w:instrText>
      </w:r>
      <w:r>
        <w:rPr>
          <w:rFonts w:hint="eastAsia"/>
          <w:color w:val="auto"/>
          <w:highlight w:val="none"/>
        </w:rPr>
        <w:instrText xml:space="preserve"> </w:instrText>
      </w:r>
      <w:r>
        <w:rPr>
          <w:color w:val="auto"/>
          <w:highlight w:val="none"/>
        </w:rPr>
        <w:fldChar w:fldCharType="separate"/>
      </w:r>
      <w:r>
        <w:rPr>
          <w:color w:val="auto"/>
          <w:highlight w:val="none"/>
        </w:rPr>
        <w:t>20</w:t>
      </w:r>
      <w:r>
        <w:rPr>
          <w:rFonts w:hint="eastAsia"/>
          <w:color w:val="auto"/>
          <w:highlight w:val="none"/>
        </w:rPr>
        <w:fldChar w:fldCharType="end"/>
      </w:r>
      <w:r>
        <w:rPr>
          <w:rStyle w:val="56"/>
          <w:rFonts w:hint="eastAsia"/>
          <w:color w:val="auto"/>
          <w:highlight w:val="none"/>
        </w:rPr>
        <w:fldChar w:fldCharType="end"/>
      </w:r>
    </w:p>
    <w:p w14:paraId="47086209">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第三章  评标办法（</w:t>
      </w:r>
      <w:r>
        <w:rPr>
          <w:rStyle w:val="56"/>
          <w:rFonts w:hint="eastAsia" w:ascii="宋体" w:hAnsi="宋体"/>
          <w:color w:val="auto"/>
          <w:highlight w:val="none"/>
          <w:lang w:eastAsia="zh-CN"/>
        </w:rPr>
        <w:t>综合评估</w:t>
      </w:r>
      <w:r>
        <w:rPr>
          <w:rStyle w:val="56"/>
          <w:rFonts w:hint="eastAsia" w:ascii="宋体" w:hAnsi="宋体"/>
          <w:color w:val="auto"/>
          <w:highlight w:val="none"/>
        </w:rPr>
        <w:t>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_Toc177985715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56"/>
          <w:rFonts w:hint="eastAsia"/>
          <w:color w:val="auto"/>
          <w:highlight w:val="none"/>
        </w:rPr>
        <w:fldChar w:fldCharType="end"/>
      </w:r>
    </w:p>
    <w:p w14:paraId="6A262611">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评标办法前附表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_Toc177985716 \h</w:instrText>
      </w:r>
      <w:r>
        <w:rPr>
          <w:rFonts w:hint="eastAsia"/>
          <w:color w:val="auto"/>
          <w:highlight w:val="none"/>
        </w:rPr>
        <w:instrText xml:space="preserve"> </w:instrText>
      </w:r>
      <w:r>
        <w:rPr>
          <w:color w:val="auto"/>
          <w:highlight w:val="none"/>
        </w:rPr>
        <w:fldChar w:fldCharType="separate"/>
      </w:r>
      <w:r>
        <w:rPr>
          <w:color w:val="auto"/>
          <w:highlight w:val="none"/>
        </w:rPr>
        <w:t>21</w:t>
      </w:r>
      <w:r>
        <w:rPr>
          <w:rFonts w:hint="eastAsia"/>
          <w:color w:val="auto"/>
          <w:highlight w:val="none"/>
        </w:rPr>
        <w:fldChar w:fldCharType="end"/>
      </w:r>
      <w:r>
        <w:rPr>
          <w:rStyle w:val="56"/>
          <w:rFonts w:hint="eastAsia"/>
          <w:color w:val="auto"/>
          <w:highlight w:val="none"/>
        </w:rPr>
        <w:fldChar w:fldCharType="end"/>
      </w:r>
    </w:p>
    <w:p w14:paraId="07E5B7DD">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snapToGrid w:val="0"/>
          <w:color w:val="auto"/>
          <w:highlight w:val="none"/>
        </w:rPr>
        <w:t>1.  评标方法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_Toc177985717 \h</w:instrText>
      </w:r>
      <w:r>
        <w:rPr>
          <w:rFonts w:hint="eastAsia"/>
          <w:color w:val="auto"/>
          <w:highlight w:val="none"/>
        </w:rPr>
        <w:instrText xml:space="preserve"> </w:instrText>
      </w:r>
      <w:r>
        <w:rPr>
          <w:color w:val="auto"/>
          <w:highlight w:val="none"/>
        </w:rPr>
        <w:fldChar w:fldCharType="separate"/>
      </w:r>
      <w:r>
        <w:rPr>
          <w:color w:val="auto"/>
          <w:highlight w:val="none"/>
        </w:rPr>
        <w:t>24</w:t>
      </w:r>
      <w:r>
        <w:rPr>
          <w:rFonts w:hint="eastAsia"/>
          <w:color w:val="auto"/>
          <w:highlight w:val="none"/>
        </w:rPr>
        <w:fldChar w:fldCharType="end"/>
      </w:r>
      <w:r>
        <w:rPr>
          <w:rStyle w:val="56"/>
          <w:rFonts w:hint="eastAsia"/>
          <w:color w:val="auto"/>
          <w:highlight w:val="none"/>
        </w:rPr>
        <w:fldChar w:fldCharType="end"/>
      </w:r>
    </w:p>
    <w:p w14:paraId="6BDBD310">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snapToGrid w:val="0"/>
          <w:color w:val="auto"/>
          <w:highlight w:val="none"/>
        </w:rPr>
        <w:t>2.  评审标准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_Toc177985718 \h</w:instrText>
      </w:r>
      <w:r>
        <w:rPr>
          <w:rFonts w:hint="eastAsia"/>
          <w:color w:val="auto"/>
          <w:highlight w:val="none"/>
        </w:rPr>
        <w:instrText xml:space="preserve"> </w:instrText>
      </w:r>
      <w:r>
        <w:rPr>
          <w:color w:val="auto"/>
          <w:highlight w:val="none"/>
        </w:rPr>
        <w:fldChar w:fldCharType="separate"/>
      </w:r>
      <w:r>
        <w:rPr>
          <w:color w:val="auto"/>
          <w:highlight w:val="none"/>
        </w:rPr>
        <w:t>24</w:t>
      </w:r>
      <w:r>
        <w:rPr>
          <w:rFonts w:hint="eastAsia"/>
          <w:color w:val="auto"/>
          <w:highlight w:val="none"/>
        </w:rPr>
        <w:fldChar w:fldCharType="end"/>
      </w:r>
      <w:r>
        <w:rPr>
          <w:rStyle w:val="56"/>
          <w:rFonts w:hint="eastAsia"/>
          <w:color w:val="auto"/>
          <w:highlight w:val="none"/>
        </w:rPr>
        <w:fldChar w:fldCharType="end"/>
      </w:r>
    </w:p>
    <w:p w14:paraId="57A0227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"_Toc177985719"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2.1报价排序标准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_Toc177985719 \h</w:instrText>
      </w:r>
      <w:r>
        <w:rPr>
          <w:rFonts w:hint="eastAsia"/>
          <w:color w:val="auto"/>
          <w:highlight w:val="none"/>
        </w:rPr>
        <w:instrText xml:space="preserve"> </w:instrText>
      </w:r>
      <w:r>
        <w:rPr>
          <w:color w:val="auto"/>
          <w:highlight w:val="none"/>
        </w:rPr>
        <w:fldChar w:fldCharType="separate"/>
      </w:r>
      <w:r>
        <w:rPr>
          <w:color w:val="auto"/>
          <w:highlight w:val="none"/>
        </w:rPr>
        <w:t>24</w:t>
      </w:r>
      <w:r>
        <w:rPr>
          <w:rFonts w:hint="eastAsia"/>
          <w:color w:val="auto"/>
          <w:highlight w:val="none"/>
        </w:rPr>
        <w:fldChar w:fldCharType="end"/>
      </w:r>
      <w:r>
        <w:rPr>
          <w:rStyle w:val="56"/>
          <w:rFonts w:hint="eastAsia"/>
          <w:color w:val="auto"/>
          <w:highlight w:val="none"/>
        </w:rPr>
        <w:fldChar w:fldCharType="end"/>
      </w:r>
    </w:p>
    <w:p w14:paraId="0B25A461">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2.2符合性审查标准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_Toc177985720 \h</w:instrText>
      </w:r>
      <w:r>
        <w:rPr>
          <w:rFonts w:hint="eastAsia"/>
          <w:color w:val="auto"/>
          <w:highlight w:val="none"/>
        </w:rPr>
        <w:instrText xml:space="preserve"> </w:instrText>
      </w:r>
      <w:r>
        <w:rPr>
          <w:color w:val="auto"/>
          <w:highlight w:val="none"/>
        </w:rPr>
        <w:fldChar w:fldCharType="separate"/>
      </w:r>
      <w:r>
        <w:rPr>
          <w:color w:val="auto"/>
          <w:highlight w:val="none"/>
        </w:rPr>
        <w:t>24</w:t>
      </w:r>
      <w:r>
        <w:rPr>
          <w:rFonts w:hint="eastAsia"/>
          <w:color w:val="auto"/>
          <w:highlight w:val="none"/>
        </w:rPr>
        <w:fldChar w:fldCharType="end"/>
      </w:r>
      <w:r>
        <w:rPr>
          <w:rStyle w:val="56"/>
          <w:rFonts w:hint="eastAsia"/>
          <w:color w:val="auto"/>
          <w:highlight w:val="none"/>
        </w:rPr>
        <w:fldChar w:fldCharType="end"/>
      </w:r>
    </w:p>
    <w:p w14:paraId="5816E8C9">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snapToGrid w:val="0"/>
          <w:color w:val="auto"/>
          <w:highlight w:val="none"/>
        </w:rPr>
        <w:t>3.  评标程序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_Toc177985721 \h</w:instrText>
      </w:r>
      <w:r>
        <w:rPr>
          <w:rFonts w:hint="eastAsia"/>
          <w:color w:val="auto"/>
          <w:highlight w:val="none"/>
        </w:rPr>
        <w:instrText xml:space="preserve"> </w:instrText>
      </w:r>
      <w:r>
        <w:rPr>
          <w:color w:val="auto"/>
          <w:highlight w:val="none"/>
        </w:rPr>
        <w:fldChar w:fldCharType="separate"/>
      </w:r>
      <w:r>
        <w:rPr>
          <w:color w:val="auto"/>
          <w:highlight w:val="none"/>
        </w:rPr>
        <w:t>24</w:t>
      </w:r>
      <w:r>
        <w:rPr>
          <w:rFonts w:hint="eastAsia"/>
          <w:color w:val="auto"/>
          <w:highlight w:val="none"/>
        </w:rPr>
        <w:fldChar w:fldCharType="end"/>
      </w:r>
      <w:r>
        <w:rPr>
          <w:rStyle w:val="56"/>
          <w:rFonts w:hint="eastAsia"/>
          <w:color w:val="auto"/>
          <w:highlight w:val="none"/>
        </w:rPr>
        <w:fldChar w:fldCharType="end"/>
      </w:r>
    </w:p>
    <w:p w14:paraId="71E1E66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3.1报价排序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_Toc177985722 \h</w:instrText>
      </w:r>
      <w:r>
        <w:rPr>
          <w:rFonts w:hint="eastAsia"/>
          <w:color w:val="auto"/>
          <w:highlight w:val="none"/>
        </w:rPr>
        <w:instrText xml:space="preserve"> </w:instrText>
      </w:r>
      <w:r>
        <w:rPr>
          <w:color w:val="auto"/>
          <w:highlight w:val="none"/>
        </w:rPr>
        <w:fldChar w:fldCharType="separate"/>
      </w:r>
      <w:r>
        <w:rPr>
          <w:color w:val="auto"/>
          <w:highlight w:val="none"/>
        </w:rPr>
        <w:t>24</w:t>
      </w:r>
      <w:r>
        <w:rPr>
          <w:rFonts w:hint="eastAsia"/>
          <w:color w:val="auto"/>
          <w:highlight w:val="none"/>
        </w:rPr>
        <w:fldChar w:fldCharType="end"/>
      </w:r>
      <w:r>
        <w:rPr>
          <w:rStyle w:val="56"/>
          <w:rFonts w:hint="eastAsia"/>
          <w:color w:val="auto"/>
          <w:highlight w:val="none"/>
        </w:rPr>
        <w:fldChar w:fldCharType="end"/>
      </w:r>
    </w:p>
    <w:p w14:paraId="14E0067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3.2符合性审查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_Toc177985723 \h</w:instrText>
      </w:r>
      <w:r>
        <w:rPr>
          <w:rFonts w:hint="eastAsia"/>
          <w:color w:val="auto"/>
          <w:highlight w:val="none"/>
        </w:rPr>
        <w:instrText xml:space="preserve"> </w:instrText>
      </w:r>
      <w:r>
        <w:rPr>
          <w:color w:val="auto"/>
          <w:highlight w:val="none"/>
        </w:rPr>
        <w:fldChar w:fldCharType="separate"/>
      </w:r>
      <w:r>
        <w:rPr>
          <w:color w:val="auto"/>
          <w:highlight w:val="none"/>
        </w:rPr>
        <w:t>24</w:t>
      </w:r>
      <w:r>
        <w:rPr>
          <w:rFonts w:hint="eastAsia"/>
          <w:color w:val="auto"/>
          <w:highlight w:val="none"/>
        </w:rPr>
        <w:fldChar w:fldCharType="end"/>
      </w:r>
      <w:r>
        <w:rPr>
          <w:rStyle w:val="56"/>
          <w:rFonts w:hint="eastAsia"/>
          <w:color w:val="auto"/>
          <w:highlight w:val="none"/>
        </w:rPr>
        <w:fldChar w:fldCharType="end"/>
      </w:r>
    </w:p>
    <w:p w14:paraId="6D8D319F">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 xml:space="preserve">3.3 </w:t>
      </w:r>
      <w:r>
        <w:rPr>
          <w:rStyle w:val="56"/>
          <w:rFonts w:hint="eastAsia" w:ascii="宋体" w:hAnsi="宋体" w:cs="宋体"/>
          <w:color w:val="auto"/>
          <w:highlight w:val="none"/>
          <w:lang w:eastAsia="zh-CN"/>
        </w:rPr>
        <w:t>投标文件</w:t>
      </w:r>
      <w:r>
        <w:rPr>
          <w:rStyle w:val="56"/>
          <w:rFonts w:hint="eastAsia" w:ascii="宋体" w:hAnsi="宋体" w:cs="宋体"/>
          <w:color w:val="auto"/>
          <w:highlight w:val="none"/>
        </w:rPr>
        <w:t>的澄清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_Toc177985724 \h</w:instrText>
      </w:r>
      <w:r>
        <w:rPr>
          <w:rFonts w:hint="eastAsia"/>
          <w:color w:val="auto"/>
          <w:highlight w:val="none"/>
        </w:rPr>
        <w:instrText xml:space="preserve"> </w:instrText>
      </w:r>
      <w:r>
        <w:rPr>
          <w:color w:val="auto"/>
          <w:highlight w:val="none"/>
        </w:rPr>
        <w:fldChar w:fldCharType="separate"/>
      </w:r>
      <w:r>
        <w:rPr>
          <w:color w:val="auto"/>
          <w:highlight w:val="none"/>
        </w:rPr>
        <w:t>25</w:t>
      </w:r>
      <w:r>
        <w:rPr>
          <w:rFonts w:hint="eastAsia"/>
          <w:color w:val="auto"/>
          <w:highlight w:val="none"/>
        </w:rPr>
        <w:fldChar w:fldCharType="end"/>
      </w:r>
      <w:r>
        <w:rPr>
          <w:rStyle w:val="56"/>
          <w:rFonts w:hint="eastAsia"/>
          <w:color w:val="auto"/>
          <w:highlight w:val="none"/>
        </w:rPr>
        <w:fldChar w:fldCharType="end"/>
      </w:r>
    </w:p>
    <w:p w14:paraId="226A4A9F">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s="宋体"/>
          <w:color w:val="auto"/>
          <w:highlight w:val="none"/>
        </w:rPr>
        <w:t>3.4 评标结果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_Toc177985725 \h</w:instrText>
      </w:r>
      <w:r>
        <w:rPr>
          <w:rFonts w:hint="eastAsia"/>
          <w:color w:val="auto"/>
          <w:highlight w:val="none"/>
        </w:rPr>
        <w:instrText xml:space="preserve"> </w:instrText>
      </w:r>
      <w:r>
        <w:rPr>
          <w:color w:val="auto"/>
          <w:highlight w:val="none"/>
        </w:rPr>
        <w:fldChar w:fldCharType="separate"/>
      </w:r>
      <w:r>
        <w:rPr>
          <w:color w:val="auto"/>
          <w:highlight w:val="none"/>
        </w:rPr>
        <w:t>25</w:t>
      </w:r>
      <w:r>
        <w:rPr>
          <w:rFonts w:hint="eastAsia"/>
          <w:color w:val="auto"/>
          <w:highlight w:val="none"/>
        </w:rPr>
        <w:fldChar w:fldCharType="end"/>
      </w:r>
      <w:r>
        <w:rPr>
          <w:rStyle w:val="56"/>
          <w:rFonts w:hint="eastAsia"/>
          <w:color w:val="auto"/>
          <w:highlight w:val="none"/>
        </w:rPr>
        <w:fldChar w:fldCharType="end"/>
      </w:r>
    </w:p>
    <w:p w14:paraId="41FD7E4B">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color w:val="auto"/>
          <w:highlight w:val="none"/>
        </w:rPr>
        <w:t>附件A：经评审的最低价法否决</w:t>
      </w:r>
      <w:r>
        <w:rPr>
          <w:rStyle w:val="56"/>
          <w:rFonts w:hint="eastAsia"/>
          <w:color w:val="auto"/>
          <w:highlight w:val="none"/>
          <w:lang w:eastAsia="zh-CN"/>
        </w:rPr>
        <w:t>投标</w:t>
      </w:r>
      <w:r>
        <w:rPr>
          <w:rStyle w:val="56"/>
          <w:rFonts w:hint="eastAsia"/>
          <w:color w:val="auto"/>
          <w:highlight w:val="none"/>
        </w:rPr>
        <w:t>情况一览表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_Toc177985726 \h</w:instrText>
      </w:r>
      <w:r>
        <w:rPr>
          <w:rFonts w:hint="eastAsia"/>
          <w:color w:val="auto"/>
          <w:highlight w:val="none"/>
        </w:rPr>
        <w:instrText xml:space="preserve"> </w:instrText>
      </w:r>
      <w:r>
        <w:rPr>
          <w:color w:val="auto"/>
          <w:highlight w:val="none"/>
        </w:rPr>
        <w:fldChar w:fldCharType="separate"/>
      </w:r>
      <w:r>
        <w:rPr>
          <w:color w:val="auto"/>
          <w:highlight w:val="none"/>
        </w:rPr>
        <w:t>26</w:t>
      </w:r>
      <w:r>
        <w:rPr>
          <w:rFonts w:hint="eastAsia"/>
          <w:color w:val="auto"/>
          <w:highlight w:val="none"/>
        </w:rPr>
        <w:fldChar w:fldCharType="end"/>
      </w:r>
      <w:r>
        <w:rPr>
          <w:rStyle w:val="56"/>
          <w:rFonts w:hint="eastAsia"/>
          <w:color w:val="auto"/>
          <w:highlight w:val="none"/>
        </w:rPr>
        <w:fldChar w:fldCharType="end"/>
      </w:r>
    </w:p>
    <w:p w14:paraId="39D5F5B3">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kern w:val="0"/>
          <w:highlight w:val="none"/>
        </w:rPr>
        <w:t>第四章  合同条款及格式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_Toc177985727 \h</w:instrText>
      </w:r>
      <w:r>
        <w:rPr>
          <w:rFonts w:hint="eastAsia"/>
          <w:color w:val="auto"/>
          <w:highlight w:val="none"/>
        </w:rPr>
        <w:instrText xml:space="preserve"> </w:instrText>
      </w:r>
      <w:r>
        <w:rPr>
          <w:color w:val="auto"/>
          <w:highlight w:val="none"/>
        </w:rPr>
        <w:fldChar w:fldCharType="separate"/>
      </w:r>
      <w:r>
        <w:rPr>
          <w:color w:val="auto"/>
          <w:highlight w:val="none"/>
        </w:rPr>
        <w:t>28</w:t>
      </w:r>
      <w:r>
        <w:rPr>
          <w:rFonts w:hint="eastAsia"/>
          <w:color w:val="auto"/>
          <w:highlight w:val="none"/>
        </w:rPr>
        <w:fldChar w:fldCharType="end"/>
      </w:r>
      <w:r>
        <w:rPr>
          <w:rStyle w:val="56"/>
          <w:rFonts w:hint="eastAsia"/>
          <w:color w:val="auto"/>
          <w:highlight w:val="none"/>
        </w:rPr>
        <w:fldChar w:fldCharType="end"/>
      </w:r>
    </w:p>
    <w:p w14:paraId="7EA63FF1">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"_Toc177985728"</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 xml:space="preserve">第五章  </w:t>
      </w:r>
      <w:r>
        <w:rPr>
          <w:rStyle w:val="56"/>
          <w:rFonts w:hint="eastAsia" w:ascii="宋体" w:hAnsi="宋体"/>
          <w:color w:val="auto"/>
          <w:highlight w:val="none"/>
          <w:lang w:eastAsia="zh-CN"/>
        </w:rPr>
        <w:t>招标人</w:t>
      </w:r>
      <w:r>
        <w:rPr>
          <w:rStyle w:val="56"/>
          <w:rFonts w:hint="eastAsia" w:ascii="宋体" w:hAnsi="宋体"/>
          <w:color w:val="auto"/>
          <w:highlight w:val="none"/>
        </w:rPr>
        <w:t>要求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_Toc177985728 \h</w:instrText>
      </w:r>
      <w:r>
        <w:rPr>
          <w:rFonts w:hint="eastAsia"/>
          <w:color w:val="auto"/>
          <w:highlight w:val="none"/>
        </w:rPr>
        <w:instrText xml:space="preserve"> </w:instrText>
      </w:r>
      <w:r>
        <w:rPr>
          <w:color w:val="auto"/>
          <w:highlight w:val="none"/>
        </w:rPr>
        <w:fldChar w:fldCharType="separate"/>
      </w:r>
      <w:r>
        <w:rPr>
          <w:color w:val="auto"/>
          <w:highlight w:val="none"/>
        </w:rPr>
        <w:t>32</w:t>
      </w:r>
      <w:r>
        <w:rPr>
          <w:rFonts w:hint="eastAsia"/>
          <w:color w:val="auto"/>
          <w:highlight w:val="none"/>
        </w:rPr>
        <w:fldChar w:fldCharType="end"/>
      </w:r>
      <w:r>
        <w:rPr>
          <w:rStyle w:val="56"/>
          <w:rFonts w:hint="eastAsia"/>
          <w:color w:val="auto"/>
          <w:highlight w:val="none"/>
        </w:rPr>
        <w:fldChar w:fldCharType="end"/>
      </w:r>
    </w:p>
    <w:p w14:paraId="5EB1EA87">
      <w:pPr>
        <w:pStyle w:val="31"/>
        <w:tabs>
          <w:tab w:val="right" w:leader="dot" w:pos="9288"/>
        </w:tabs>
        <w:adjustRightInd w:val="0"/>
        <w:snapToGrid w:val="0"/>
        <w:spacing w:before="0" w:after="0" w:line="240" w:lineRule="atLeast"/>
        <w:rPr>
          <w:rFonts w:hint="eastAsia" w:ascii="等线" w:hAnsi="等线" w:eastAsia="等线"/>
          <w:b w:val="0"/>
          <w:bCs w:val="0"/>
          <w:caps w:val="0"/>
          <w:color w:val="auto"/>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"_Toc177985729"</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 xml:space="preserve">第六章  </w:t>
      </w:r>
      <w:r>
        <w:rPr>
          <w:rStyle w:val="56"/>
          <w:rFonts w:hint="eastAsia" w:ascii="宋体" w:hAnsi="宋体"/>
          <w:color w:val="auto"/>
          <w:highlight w:val="none"/>
          <w:lang w:eastAsia="zh-CN"/>
        </w:rPr>
        <w:t>投标文件</w:t>
      </w:r>
      <w:r>
        <w:rPr>
          <w:rStyle w:val="56"/>
          <w:rFonts w:hint="eastAsia" w:ascii="宋体" w:hAnsi="宋体"/>
          <w:color w:val="auto"/>
          <w:highlight w:val="none"/>
        </w:rPr>
        <w:t>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_Toc177985729 \h</w:instrText>
      </w:r>
      <w:r>
        <w:rPr>
          <w:rFonts w:hint="eastAsia"/>
          <w:color w:val="auto"/>
          <w:highlight w:val="none"/>
        </w:rPr>
        <w:instrText xml:space="preserve"> </w:instrText>
      </w:r>
      <w:r>
        <w:rPr>
          <w:color w:val="auto"/>
          <w:highlight w:val="none"/>
        </w:rPr>
        <w:fldChar w:fldCharType="separate"/>
      </w:r>
      <w:r>
        <w:rPr>
          <w:color w:val="auto"/>
          <w:highlight w:val="none"/>
        </w:rPr>
        <w:t>34</w:t>
      </w:r>
      <w:r>
        <w:rPr>
          <w:rFonts w:hint="eastAsia"/>
          <w:color w:val="auto"/>
          <w:highlight w:val="none"/>
        </w:rPr>
        <w:fldChar w:fldCharType="end"/>
      </w:r>
      <w:r>
        <w:rPr>
          <w:rStyle w:val="56"/>
          <w:rFonts w:hint="eastAsia"/>
          <w:color w:val="auto"/>
          <w:highlight w:val="none"/>
        </w:rPr>
        <w:fldChar w:fldCharType="end"/>
      </w:r>
    </w:p>
    <w:p w14:paraId="2354D158">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"_Toc177985730"</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一、</w:t>
      </w:r>
      <w:r>
        <w:rPr>
          <w:rStyle w:val="56"/>
          <w:rFonts w:hint="eastAsia" w:ascii="宋体" w:hAnsi="宋体"/>
          <w:color w:val="auto"/>
          <w:highlight w:val="none"/>
          <w:lang w:eastAsia="zh-CN"/>
        </w:rPr>
        <w:t>投标</w:t>
      </w:r>
      <w:r>
        <w:rPr>
          <w:rStyle w:val="56"/>
          <w:rFonts w:hint="eastAsia" w:ascii="宋体" w:hAnsi="宋体"/>
          <w:color w:val="auto"/>
          <w:highlight w:val="none"/>
        </w:rPr>
        <w:t>函部分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_Toc177985730 \h</w:instrText>
      </w:r>
      <w:r>
        <w:rPr>
          <w:rFonts w:hint="eastAsia"/>
          <w:color w:val="auto"/>
          <w:highlight w:val="none"/>
        </w:rPr>
        <w:instrText xml:space="preserve"> </w:instrText>
      </w:r>
      <w:r>
        <w:rPr>
          <w:color w:val="auto"/>
          <w:highlight w:val="none"/>
        </w:rPr>
        <w:fldChar w:fldCharType="separate"/>
      </w:r>
      <w:r>
        <w:rPr>
          <w:color w:val="auto"/>
          <w:highlight w:val="none"/>
        </w:rPr>
        <w:t>37</w:t>
      </w:r>
      <w:r>
        <w:rPr>
          <w:rFonts w:hint="eastAsia"/>
          <w:color w:val="auto"/>
          <w:highlight w:val="none"/>
        </w:rPr>
        <w:fldChar w:fldCharType="end"/>
      </w:r>
      <w:r>
        <w:rPr>
          <w:rStyle w:val="56"/>
          <w:rFonts w:hint="eastAsia"/>
          <w:color w:val="auto"/>
          <w:highlight w:val="none"/>
        </w:rPr>
        <w:fldChar w:fldCharType="end"/>
      </w:r>
    </w:p>
    <w:p w14:paraId="5C87ACA5">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"_Toc177985731"</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（一）</w:t>
      </w:r>
      <w:r>
        <w:rPr>
          <w:rStyle w:val="56"/>
          <w:rFonts w:hint="eastAsia" w:ascii="宋体" w:hAnsi="宋体"/>
          <w:color w:val="auto"/>
          <w:highlight w:val="none"/>
          <w:lang w:eastAsia="zh-CN"/>
        </w:rPr>
        <w:t>投标</w:t>
      </w:r>
      <w:r>
        <w:rPr>
          <w:rStyle w:val="56"/>
          <w:rFonts w:hint="eastAsia" w:ascii="宋体" w:hAnsi="宋体"/>
          <w:color w:val="auto"/>
          <w:highlight w:val="none"/>
        </w:rPr>
        <w:t>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_Toc177985731 \h</w:instrText>
      </w:r>
      <w:r>
        <w:rPr>
          <w:rFonts w:hint="eastAsia"/>
          <w:color w:val="auto"/>
          <w:highlight w:val="none"/>
        </w:rPr>
        <w:instrText xml:space="preserve"> </w:instrText>
      </w:r>
      <w:r>
        <w:rPr>
          <w:color w:val="auto"/>
          <w:highlight w:val="none"/>
        </w:rPr>
        <w:fldChar w:fldCharType="separate"/>
      </w:r>
      <w:r>
        <w:rPr>
          <w:color w:val="auto"/>
          <w:highlight w:val="none"/>
        </w:rPr>
        <w:t>38</w:t>
      </w:r>
      <w:r>
        <w:rPr>
          <w:rFonts w:hint="eastAsia"/>
          <w:color w:val="auto"/>
          <w:highlight w:val="none"/>
        </w:rPr>
        <w:fldChar w:fldCharType="end"/>
      </w:r>
      <w:r>
        <w:rPr>
          <w:rStyle w:val="56"/>
          <w:rFonts w:hint="eastAsia"/>
          <w:color w:val="auto"/>
          <w:highlight w:val="none"/>
        </w:rPr>
        <w:fldChar w:fldCharType="end"/>
      </w:r>
    </w:p>
    <w:p w14:paraId="214A0882">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"_Toc177985732"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（二）报价明细表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_Toc177985732 \h</w:instrText>
      </w:r>
      <w:r>
        <w:rPr>
          <w:rFonts w:hint="eastAsia"/>
          <w:color w:val="auto"/>
          <w:highlight w:val="none"/>
        </w:rPr>
        <w:instrText xml:space="preserve"> </w:instrText>
      </w:r>
      <w:r>
        <w:rPr>
          <w:color w:val="auto"/>
          <w:highlight w:val="none"/>
        </w:rPr>
        <w:fldChar w:fldCharType="separate"/>
      </w:r>
      <w:r>
        <w:rPr>
          <w:color w:val="auto"/>
          <w:highlight w:val="none"/>
        </w:rPr>
        <w:t>39</w:t>
      </w:r>
      <w:r>
        <w:rPr>
          <w:rFonts w:hint="eastAsia"/>
          <w:color w:val="auto"/>
          <w:highlight w:val="none"/>
        </w:rPr>
        <w:fldChar w:fldCharType="end"/>
      </w:r>
      <w:r>
        <w:rPr>
          <w:rStyle w:val="56"/>
          <w:rFonts w:hint="eastAsia"/>
          <w:color w:val="auto"/>
          <w:highlight w:val="none"/>
        </w:rPr>
        <w:fldChar w:fldCharType="end"/>
      </w:r>
    </w:p>
    <w:p w14:paraId="207FE100">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"_Toc177985742"</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（三）法定代表人身份证明或附有法定代表人身份证明的授权委托书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_Toc177985742 \h</w:instrText>
      </w:r>
      <w:r>
        <w:rPr>
          <w:rFonts w:hint="eastAsia"/>
          <w:color w:val="auto"/>
          <w:highlight w:val="none"/>
        </w:rPr>
        <w:instrText xml:space="preserve"> </w:instrText>
      </w:r>
      <w:r>
        <w:rPr>
          <w:color w:val="auto"/>
          <w:highlight w:val="none"/>
        </w:rPr>
        <w:fldChar w:fldCharType="separate"/>
      </w:r>
      <w:r>
        <w:rPr>
          <w:color w:val="auto"/>
          <w:highlight w:val="none"/>
        </w:rPr>
        <w:t>40</w:t>
      </w:r>
      <w:r>
        <w:rPr>
          <w:rFonts w:hint="eastAsia"/>
          <w:color w:val="auto"/>
          <w:highlight w:val="none"/>
        </w:rPr>
        <w:fldChar w:fldCharType="end"/>
      </w:r>
      <w:r>
        <w:rPr>
          <w:rStyle w:val="56"/>
          <w:rFonts w:hint="eastAsia"/>
          <w:color w:val="auto"/>
          <w:highlight w:val="none"/>
        </w:rPr>
        <w:fldChar w:fldCharType="end"/>
      </w:r>
    </w:p>
    <w:p w14:paraId="53DBBBF4">
      <w:pPr>
        <w:pStyle w:val="37"/>
        <w:tabs>
          <w:tab w:val="right" w:leader="dot" w:pos="9288"/>
        </w:tabs>
        <w:adjustRightInd w:val="0"/>
        <w:snapToGrid w:val="0"/>
        <w:spacing w:line="240" w:lineRule="atLeast"/>
        <w:ind w:left="0"/>
        <w:rPr>
          <w:rFonts w:hint="eastAsia" w:ascii="等线" w:hAnsi="等线" w:eastAsia="等线"/>
          <w:smallCap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"_Toc177985743"</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二、资格审查部分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_Toc177985743 \h</w:instrText>
      </w:r>
      <w:r>
        <w:rPr>
          <w:rFonts w:hint="eastAsia"/>
          <w:color w:val="auto"/>
          <w:highlight w:val="none"/>
        </w:rPr>
        <w:instrText xml:space="preserve"> </w:instrText>
      </w:r>
      <w:r>
        <w:rPr>
          <w:color w:val="auto"/>
          <w:highlight w:val="none"/>
        </w:rPr>
        <w:fldChar w:fldCharType="separate"/>
      </w:r>
      <w:r>
        <w:rPr>
          <w:color w:val="auto"/>
          <w:highlight w:val="none"/>
        </w:rPr>
        <w:t>42</w:t>
      </w:r>
      <w:r>
        <w:rPr>
          <w:rFonts w:hint="eastAsia"/>
          <w:color w:val="auto"/>
          <w:highlight w:val="none"/>
        </w:rPr>
        <w:fldChar w:fldCharType="end"/>
      </w:r>
      <w:r>
        <w:rPr>
          <w:rStyle w:val="56"/>
          <w:rFonts w:hint="eastAsia"/>
          <w:color w:val="auto"/>
          <w:highlight w:val="none"/>
        </w:rPr>
        <w:fldChar w:fldCharType="end"/>
      </w:r>
    </w:p>
    <w:p w14:paraId="6369AD63">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"_Toc177985744"</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（一）</w:t>
      </w:r>
      <w:r>
        <w:rPr>
          <w:rStyle w:val="56"/>
          <w:rFonts w:hint="eastAsia" w:ascii="宋体" w:hAnsi="宋体"/>
          <w:color w:val="auto"/>
          <w:highlight w:val="none"/>
          <w:lang w:eastAsia="zh-CN"/>
        </w:rPr>
        <w:t>投标人</w:t>
      </w:r>
      <w:r>
        <w:rPr>
          <w:rStyle w:val="56"/>
          <w:rFonts w:hint="eastAsia" w:ascii="宋体" w:hAnsi="宋体"/>
          <w:color w:val="auto"/>
          <w:highlight w:val="none"/>
        </w:rPr>
        <w:t>基本情况表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_Toc177985744 \h</w:instrText>
      </w:r>
      <w:r>
        <w:rPr>
          <w:rFonts w:hint="eastAsia"/>
          <w:color w:val="auto"/>
          <w:highlight w:val="none"/>
        </w:rPr>
        <w:instrText xml:space="preserve"> </w:instrText>
      </w:r>
      <w:r>
        <w:rPr>
          <w:color w:val="auto"/>
          <w:highlight w:val="none"/>
        </w:rPr>
        <w:fldChar w:fldCharType="separate"/>
      </w:r>
      <w:r>
        <w:rPr>
          <w:color w:val="auto"/>
          <w:highlight w:val="none"/>
        </w:rPr>
        <w:t>43</w:t>
      </w:r>
      <w:r>
        <w:rPr>
          <w:rFonts w:hint="eastAsia"/>
          <w:color w:val="auto"/>
          <w:highlight w:val="none"/>
        </w:rPr>
        <w:fldChar w:fldCharType="end"/>
      </w:r>
      <w:r>
        <w:rPr>
          <w:rStyle w:val="56"/>
          <w:rFonts w:hint="eastAsia"/>
          <w:color w:val="auto"/>
          <w:highlight w:val="none"/>
        </w:rPr>
        <w:fldChar w:fldCharType="end"/>
      </w:r>
    </w:p>
    <w:p w14:paraId="68321EED">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"_Toc177985745"</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（二）承诺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_Toc177985745 \h</w:instrText>
      </w:r>
      <w:r>
        <w:rPr>
          <w:rFonts w:hint="eastAsia"/>
          <w:color w:val="auto"/>
          <w:highlight w:val="none"/>
        </w:rPr>
        <w:instrText xml:space="preserve"> </w:instrText>
      </w:r>
      <w:r>
        <w:rPr>
          <w:color w:val="auto"/>
          <w:highlight w:val="none"/>
        </w:rPr>
        <w:fldChar w:fldCharType="separate"/>
      </w:r>
      <w:r>
        <w:rPr>
          <w:color w:val="auto"/>
          <w:highlight w:val="none"/>
        </w:rPr>
        <w:t>44</w:t>
      </w:r>
      <w:r>
        <w:rPr>
          <w:rFonts w:hint="eastAsia"/>
          <w:color w:val="auto"/>
          <w:highlight w:val="none"/>
        </w:rPr>
        <w:fldChar w:fldCharType="end"/>
      </w:r>
      <w:r>
        <w:rPr>
          <w:rStyle w:val="56"/>
          <w:rFonts w:hint="eastAsia"/>
          <w:color w:val="auto"/>
          <w:highlight w:val="none"/>
        </w:rPr>
        <w:fldChar w:fldCharType="end"/>
      </w:r>
    </w:p>
    <w:p w14:paraId="150E16A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"_Toc177985746"</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（三）商务和技术偏差表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_Toc177985746 \h</w:instrText>
      </w:r>
      <w:r>
        <w:rPr>
          <w:rFonts w:hint="eastAsia"/>
          <w:color w:val="auto"/>
          <w:highlight w:val="none"/>
        </w:rPr>
        <w:instrText xml:space="preserve"> </w:instrText>
      </w:r>
      <w:r>
        <w:rPr>
          <w:color w:val="auto"/>
          <w:highlight w:val="none"/>
        </w:rPr>
        <w:fldChar w:fldCharType="separate"/>
      </w:r>
      <w:r>
        <w:rPr>
          <w:color w:val="auto"/>
          <w:highlight w:val="none"/>
        </w:rPr>
        <w:t>45</w:t>
      </w:r>
      <w:r>
        <w:rPr>
          <w:rFonts w:hint="eastAsia"/>
          <w:color w:val="auto"/>
          <w:highlight w:val="none"/>
        </w:rPr>
        <w:fldChar w:fldCharType="end"/>
      </w:r>
      <w:r>
        <w:rPr>
          <w:rStyle w:val="56"/>
          <w:rFonts w:hint="eastAsia"/>
          <w:color w:val="auto"/>
          <w:highlight w:val="none"/>
        </w:rPr>
        <w:fldChar w:fldCharType="end"/>
      </w:r>
    </w:p>
    <w:p w14:paraId="45FEF87E">
      <w:pPr>
        <w:pStyle w:val="22"/>
        <w:tabs>
          <w:tab w:val="right" w:leader="dot" w:pos="9288"/>
        </w:tabs>
        <w:adjustRightInd w:val="0"/>
        <w:snapToGrid w:val="0"/>
        <w:spacing w:line="240" w:lineRule="atLeast"/>
        <w:ind w:left="0"/>
        <w:rPr>
          <w:rFonts w:hint="eastAsia" w:ascii="等线" w:hAnsi="等线" w:eastAsia="等线"/>
          <w:i w:val="0"/>
          <w:iCs w:val="0"/>
          <w:color w:val="auto"/>
          <w:kern w:val="2"/>
          <w:sz w:val="21"/>
          <w:szCs w:val="22"/>
          <w:highlight w:val="none"/>
        </w:rPr>
      </w:pPr>
      <w:r>
        <w:rPr>
          <w:rStyle w:val="56"/>
          <w:rFonts w:hint="eastAsia"/>
          <w:color w:val="auto"/>
          <w:highlight w:val="none"/>
        </w:rPr>
        <w:fldChar w:fldCharType="begin"/>
      </w:r>
      <w:r>
        <w:rPr>
          <w:rStyle w:val="56"/>
          <w:rFonts w:hint="eastAsia"/>
          <w:color w:val="auto"/>
          <w:highlight w:val="none"/>
        </w:rPr>
        <w:instrText xml:space="preserve"> </w:instrText>
      </w:r>
      <w:r>
        <w:rPr>
          <w:rFonts w:hint="eastAsia"/>
          <w:color w:val="auto"/>
          <w:highlight w:val="none"/>
        </w:rPr>
        <w:instrText xml:space="preserve">HYPERLINK \l "_Toc177985747"</w:instrText>
      </w:r>
      <w:r>
        <w:rPr>
          <w:rStyle w:val="56"/>
          <w:rFonts w:hint="eastAsia"/>
          <w:color w:val="auto"/>
          <w:highlight w:val="none"/>
        </w:rPr>
        <w:instrText xml:space="preserve"> </w:instrText>
      </w:r>
      <w:r>
        <w:rPr>
          <w:rStyle w:val="56"/>
          <w:rFonts w:hint="eastAsia"/>
          <w:color w:val="auto"/>
          <w:highlight w:val="none"/>
        </w:rPr>
        <w:fldChar w:fldCharType="separate"/>
      </w:r>
      <w:r>
        <w:rPr>
          <w:rStyle w:val="56"/>
          <w:rFonts w:hint="eastAsia" w:ascii="宋体" w:hAnsi="宋体"/>
          <w:color w:val="auto"/>
          <w:highlight w:val="none"/>
        </w:rPr>
        <w:t>（四）其他资料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_Toc177985747 \h</w:instrText>
      </w:r>
      <w:r>
        <w:rPr>
          <w:rFonts w:hint="eastAsia"/>
          <w:color w:val="auto"/>
          <w:highlight w:val="none"/>
        </w:rPr>
        <w:instrText xml:space="preserve"> </w:instrText>
      </w:r>
      <w:r>
        <w:rPr>
          <w:color w:val="auto"/>
          <w:highlight w:val="none"/>
        </w:rPr>
        <w:fldChar w:fldCharType="separate"/>
      </w:r>
      <w:r>
        <w:rPr>
          <w:color w:val="auto"/>
          <w:highlight w:val="none"/>
        </w:rPr>
        <w:t>46</w:t>
      </w:r>
      <w:r>
        <w:rPr>
          <w:rFonts w:hint="eastAsia"/>
          <w:color w:val="auto"/>
          <w:highlight w:val="none"/>
        </w:rPr>
        <w:fldChar w:fldCharType="end"/>
      </w:r>
      <w:r>
        <w:rPr>
          <w:rStyle w:val="56"/>
          <w:rFonts w:hint="eastAsia"/>
          <w:color w:val="auto"/>
          <w:highlight w:val="none"/>
        </w:rPr>
        <w:fldChar w:fldCharType="end"/>
      </w:r>
    </w:p>
    <w:p w14:paraId="2F006129">
      <w:pPr>
        <w:pStyle w:val="22"/>
        <w:tabs>
          <w:tab w:val="right" w:leader="dot" w:pos="9288"/>
        </w:tabs>
        <w:adjustRightInd w:val="0"/>
        <w:snapToGrid w:val="0"/>
        <w:spacing w:line="240" w:lineRule="atLeast"/>
        <w:ind w:left="0"/>
        <w:rPr>
          <w:rFonts w:ascii="宋体" w:hAnsi="宋体"/>
          <w:b/>
          <w:bCs/>
          <w:color w:val="auto"/>
          <w:kern w:val="44"/>
          <w:sz w:val="52"/>
          <w:szCs w:val="52"/>
          <w:highlight w:val="none"/>
        </w:rPr>
      </w:pPr>
      <w:r>
        <w:rPr>
          <w:rFonts w:ascii="宋体" w:hAnsi="宋体"/>
          <w:bCs/>
          <w:i w:val="0"/>
          <w:color w:val="auto"/>
          <w:highlight w:val="none"/>
          <w:lang w:val="zh-CN"/>
        </w:rPr>
        <w:fldChar w:fldCharType="end"/>
      </w:r>
      <w:bookmarkEnd w:id="1"/>
      <w:bookmarkStart w:id="2" w:name="_Toc509218690"/>
    </w:p>
    <w:bookmarkEnd w:id="2"/>
    <w:p w14:paraId="10F5C0C2">
      <w:pPr>
        <w:pStyle w:val="3"/>
        <w:adjustRightInd w:val="0"/>
        <w:snapToGrid w:val="0"/>
        <w:spacing w:before="0" w:after="0" w:line="360" w:lineRule="auto"/>
        <w:jc w:val="center"/>
        <w:rPr>
          <w:rFonts w:ascii="宋体" w:hAnsi="宋体"/>
          <w:snapToGrid w:val="0"/>
          <w:color w:val="auto"/>
          <w:kern w:val="0"/>
          <w:highlight w:val="none"/>
        </w:rPr>
        <w:sectPr>
          <w:footerReference r:id="rId3" w:type="default"/>
          <w:pgSz w:w="11906" w:h="16838"/>
          <w:pgMar w:top="1304" w:right="1304" w:bottom="1304" w:left="1304" w:header="851" w:footer="992" w:gutter="0"/>
          <w:pgNumType w:start="1"/>
          <w:cols w:space="720" w:num="1"/>
          <w:docGrid w:linePitch="312" w:charSpace="0"/>
        </w:sectPr>
      </w:pPr>
      <w:bookmarkStart w:id="3" w:name="_Toc277082535"/>
      <w:bookmarkStart w:id="4" w:name="_Toc287607727"/>
      <w:bookmarkStart w:id="5" w:name="_Toc287620666"/>
      <w:bookmarkStart w:id="6" w:name="_Toc430530415"/>
      <w:bookmarkStart w:id="7" w:name="_Toc509218691"/>
      <w:bookmarkStart w:id="8" w:name="_Toc224103298"/>
    </w:p>
    <w:p w14:paraId="4C786686">
      <w:pPr>
        <w:pStyle w:val="3"/>
        <w:adjustRightInd w:val="0"/>
        <w:snapToGrid w:val="0"/>
        <w:spacing w:before="0" w:after="0" w:line="360" w:lineRule="auto"/>
        <w:jc w:val="center"/>
        <w:rPr>
          <w:rFonts w:ascii="宋体" w:hAnsi="宋体"/>
          <w:snapToGrid w:val="0"/>
          <w:color w:val="auto"/>
          <w:kern w:val="0"/>
          <w:highlight w:val="none"/>
        </w:rPr>
      </w:pPr>
      <w:bookmarkStart w:id="9" w:name="_Toc177985645"/>
      <w:r>
        <w:rPr>
          <w:rFonts w:ascii="宋体" w:hAnsi="宋体"/>
          <w:snapToGrid w:val="0"/>
          <w:color w:val="auto"/>
          <w:kern w:val="0"/>
          <w:highlight w:val="none"/>
        </w:rPr>
        <w:t xml:space="preserve">第一章 </w:t>
      </w:r>
      <w:r>
        <w:rPr>
          <w:rFonts w:hint="eastAsia" w:ascii="宋体" w:hAnsi="宋体"/>
          <w:snapToGrid w:val="0"/>
          <w:color w:val="auto"/>
          <w:kern w:val="0"/>
          <w:highlight w:val="none"/>
          <w:lang w:eastAsia="zh-CN"/>
        </w:rPr>
        <w:t>招标公告</w:t>
      </w:r>
      <w:r>
        <w:rPr>
          <w:rFonts w:ascii="宋体" w:hAnsi="宋体"/>
          <w:snapToGrid w:val="0"/>
          <w:color w:val="auto"/>
          <w:kern w:val="0"/>
          <w:highlight w:val="none"/>
        </w:rPr>
        <w:t xml:space="preserve"> </w:t>
      </w:r>
      <w:bookmarkEnd w:id="3"/>
      <w:bookmarkEnd w:id="4"/>
      <w:bookmarkEnd w:id="5"/>
      <w:bookmarkEnd w:id="6"/>
      <w:bookmarkEnd w:id="7"/>
      <w:bookmarkEnd w:id="8"/>
      <w:bookmarkEnd w:id="9"/>
    </w:p>
    <w:p w14:paraId="049A6E54">
      <w:pPr>
        <w:autoSpaceDE w:val="0"/>
        <w:autoSpaceDN w:val="0"/>
        <w:adjustRightInd w:val="0"/>
        <w:snapToGrid w:val="0"/>
        <w:spacing w:line="360" w:lineRule="auto"/>
        <w:jc w:val="center"/>
        <w:rPr>
          <w:rFonts w:hint="eastAsia" w:ascii="宋体" w:hAnsi="宋体"/>
          <w:b/>
          <w:bCs/>
          <w:snapToGrid w:val="0"/>
          <w:color w:val="auto"/>
          <w:w w:val="99"/>
          <w:kern w:val="0"/>
          <w:sz w:val="32"/>
          <w:szCs w:val="32"/>
          <w:highlight w:val="none"/>
          <w:u w:val="none"/>
        </w:rPr>
      </w:pPr>
      <w:bookmarkStart w:id="10" w:name="OLE_LINK3"/>
      <w:bookmarkStart w:id="11" w:name="OLE_LINK4"/>
      <w:bookmarkStart w:id="12" w:name="OLE_LINK2"/>
      <w:bookmarkStart w:id="13" w:name="OLE_LINK5"/>
      <w:r>
        <w:rPr>
          <w:rFonts w:hint="eastAsia" w:ascii="宋体" w:hAnsi="宋体"/>
          <w:b/>
          <w:bCs/>
          <w:snapToGrid w:val="0"/>
          <w:color w:val="auto"/>
          <w:w w:val="99"/>
          <w:kern w:val="0"/>
          <w:sz w:val="32"/>
          <w:szCs w:val="32"/>
          <w:highlight w:val="none"/>
          <w:u w:val="none"/>
          <w:lang w:eastAsia="zh-CN"/>
        </w:rPr>
        <w:t>东城公共交通有限公司二分公司营运车辆轮胎集中采购项目</w:t>
      </w:r>
    </w:p>
    <w:p w14:paraId="73A51250">
      <w:pPr>
        <w:pStyle w:val="4"/>
        <w:adjustRightInd w:val="0"/>
        <w:snapToGrid w:val="0"/>
        <w:spacing w:before="0" w:after="0" w:line="360" w:lineRule="auto"/>
        <w:rPr>
          <w:rFonts w:ascii="宋体" w:hAnsi="宋体"/>
          <w:snapToGrid w:val="0"/>
          <w:color w:val="auto"/>
          <w:sz w:val="28"/>
          <w:szCs w:val="28"/>
          <w:highlight w:val="none"/>
        </w:rPr>
      </w:pPr>
      <w:bookmarkStart w:id="14" w:name="_Toc287620667"/>
      <w:bookmarkStart w:id="15" w:name="_Toc287607728"/>
      <w:bookmarkStart w:id="16" w:name="_Toc277082536"/>
      <w:bookmarkStart w:id="17" w:name="_Toc200359238"/>
      <w:bookmarkStart w:id="18" w:name="_Toc509218692"/>
      <w:bookmarkStart w:id="19" w:name="_Toc200359427"/>
      <w:bookmarkStart w:id="20" w:name="_Toc224103299"/>
      <w:bookmarkStart w:id="21" w:name="_Toc177985646"/>
      <w:bookmarkStart w:id="22" w:name="_Toc430530416"/>
      <w:r>
        <w:rPr>
          <w:rFonts w:hint="eastAsia" w:ascii="宋体" w:hAnsi="宋体"/>
          <w:snapToGrid w:val="0"/>
          <w:color w:val="auto"/>
          <w:sz w:val="28"/>
          <w:szCs w:val="28"/>
          <w:highlight w:val="none"/>
        </w:rPr>
        <w:t>一、</w:t>
      </w:r>
      <w:r>
        <w:rPr>
          <w:rFonts w:hint="eastAsia" w:ascii="宋体" w:hAnsi="宋体"/>
          <w:snapToGrid w:val="0"/>
          <w:color w:val="auto"/>
          <w:sz w:val="28"/>
          <w:szCs w:val="28"/>
          <w:highlight w:val="none"/>
          <w:lang w:eastAsia="zh-CN"/>
        </w:rPr>
        <w:t>招标</w:t>
      </w:r>
      <w:r>
        <w:rPr>
          <w:rFonts w:ascii="宋体" w:hAnsi="宋体"/>
          <w:snapToGrid w:val="0"/>
          <w:color w:val="auto"/>
          <w:sz w:val="28"/>
          <w:szCs w:val="28"/>
          <w:highlight w:val="none"/>
        </w:rPr>
        <w:t>条件</w:t>
      </w:r>
      <w:bookmarkEnd w:id="14"/>
      <w:bookmarkEnd w:id="15"/>
      <w:bookmarkEnd w:id="16"/>
      <w:bookmarkEnd w:id="17"/>
      <w:bookmarkEnd w:id="18"/>
      <w:bookmarkEnd w:id="19"/>
      <w:bookmarkEnd w:id="20"/>
      <w:bookmarkEnd w:id="21"/>
      <w:bookmarkEnd w:id="22"/>
    </w:p>
    <w:p w14:paraId="205BB7DC">
      <w:pPr>
        <w:tabs>
          <w:tab w:val="left" w:pos="3315"/>
          <w:tab w:val="left" w:pos="3390"/>
          <w:tab w:val="left" w:pos="6120"/>
          <w:tab w:val="left" w:pos="8850"/>
        </w:tabs>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u w:val="single"/>
          <w:lang w:eastAsia="zh-CN"/>
        </w:rPr>
        <w:t>东城公共交通有限公司二分公司营运车辆轮胎集中采购项目</w:t>
      </w:r>
      <w:r>
        <w:rPr>
          <w:rFonts w:hint="eastAsia" w:ascii="宋体" w:hAnsi="宋体"/>
          <w:snapToGrid w:val="0"/>
          <w:color w:val="auto"/>
          <w:kern w:val="0"/>
          <w:szCs w:val="21"/>
          <w:highlight w:val="none"/>
        </w:rPr>
        <w:t>，已由</w:t>
      </w:r>
      <w:r>
        <w:rPr>
          <w:rFonts w:hint="eastAsia" w:ascii="宋体" w:hAnsi="宋体"/>
          <w:snapToGrid w:val="0"/>
          <w:color w:val="auto"/>
          <w:kern w:val="0"/>
          <w:szCs w:val="21"/>
          <w:highlight w:val="none"/>
          <w:u w:val="single"/>
        </w:rPr>
        <w:t>重庆东城公共交通有限公司二分公司</w:t>
      </w:r>
      <w:r>
        <w:rPr>
          <w:rFonts w:hint="eastAsia" w:ascii="宋体" w:hAnsi="宋体"/>
          <w:snapToGrid w:val="0"/>
          <w:color w:val="auto"/>
          <w:kern w:val="0"/>
          <w:szCs w:val="21"/>
          <w:highlight w:val="none"/>
        </w:rPr>
        <w:t>以</w:t>
      </w:r>
      <w:r>
        <w:rPr>
          <w:rFonts w:hint="eastAsia" w:ascii="宋体" w:hAnsi="宋体"/>
          <w:snapToGrid w:val="0"/>
          <w:color w:val="auto"/>
          <w:kern w:val="0"/>
          <w:szCs w:val="21"/>
          <w:highlight w:val="none"/>
          <w:u w:val="single"/>
        </w:rPr>
        <w:t>经理办公会</w:t>
      </w:r>
      <w:r>
        <w:rPr>
          <w:rFonts w:hint="eastAsia" w:ascii="宋体" w:hAnsi="宋体"/>
          <w:snapToGrid w:val="0"/>
          <w:color w:val="auto"/>
          <w:kern w:val="0"/>
          <w:szCs w:val="21"/>
          <w:highlight w:val="none"/>
        </w:rPr>
        <w:t>批准采购，</w:t>
      </w:r>
      <w:r>
        <w:rPr>
          <w:rFonts w:hint="eastAsia" w:ascii="宋体" w:hAnsi="宋体"/>
          <w:snapToGrid w:val="0"/>
          <w:color w:val="auto"/>
          <w:kern w:val="0"/>
          <w:szCs w:val="21"/>
          <w:highlight w:val="none"/>
          <w:lang w:val="en-US" w:eastAsia="zh-CN"/>
        </w:rPr>
        <w:t>项目资金由投标人自筹，并以落实。</w:t>
      </w:r>
      <w:r>
        <w:rPr>
          <w:rFonts w:hint="eastAsia" w:ascii="宋体" w:hAnsi="宋体"/>
          <w:snapToGrid w:val="0"/>
          <w:color w:val="auto"/>
          <w:kern w:val="0"/>
          <w:szCs w:val="21"/>
          <w:highlight w:val="none"/>
          <w:lang w:eastAsia="zh-CN"/>
        </w:rPr>
        <w:t>招标人</w:t>
      </w:r>
      <w:r>
        <w:rPr>
          <w:rFonts w:ascii="宋体" w:hAnsi="宋体"/>
          <w:snapToGrid w:val="0"/>
          <w:color w:val="auto"/>
          <w:kern w:val="0"/>
          <w:position w:val="-2"/>
          <w:szCs w:val="21"/>
          <w:highlight w:val="none"/>
        </w:rPr>
        <w:t>为</w:t>
      </w:r>
      <w:r>
        <w:rPr>
          <w:rFonts w:hint="eastAsia" w:ascii="宋体" w:hAnsi="宋体"/>
          <w:snapToGrid w:val="0"/>
          <w:color w:val="auto"/>
          <w:kern w:val="0"/>
          <w:szCs w:val="21"/>
          <w:highlight w:val="none"/>
          <w:u w:val="single"/>
        </w:rPr>
        <w:t>重庆东城公共交通有限公司二分公司</w:t>
      </w:r>
      <w:r>
        <w:rPr>
          <w:rFonts w:ascii="宋体" w:hAnsi="宋体"/>
          <w:snapToGrid w:val="0"/>
          <w:color w:val="auto"/>
          <w:kern w:val="0"/>
          <w:position w:val="-2"/>
          <w:szCs w:val="21"/>
          <w:highlight w:val="none"/>
        </w:rPr>
        <w:t>。本项目已具备</w:t>
      </w:r>
      <w:r>
        <w:rPr>
          <w:rFonts w:hint="eastAsia" w:ascii="宋体" w:hAnsi="宋体"/>
          <w:snapToGrid w:val="0"/>
          <w:color w:val="auto"/>
          <w:kern w:val="0"/>
          <w:position w:val="-2"/>
          <w:szCs w:val="21"/>
          <w:highlight w:val="none"/>
          <w:lang w:eastAsia="zh-CN"/>
        </w:rPr>
        <w:t>招标</w:t>
      </w:r>
      <w:r>
        <w:rPr>
          <w:rFonts w:ascii="宋体" w:hAnsi="宋体"/>
          <w:snapToGrid w:val="0"/>
          <w:color w:val="auto"/>
          <w:kern w:val="0"/>
          <w:position w:val="-2"/>
          <w:szCs w:val="21"/>
          <w:highlight w:val="none"/>
        </w:rPr>
        <w:t>条件，</w:t>
      </w:r>
      <w:r>
        <w:rPr>
          <w:rFonts w:hint="eastAsia" w:ascii="宋体" w:hAnsi="宋体"/>
          <w:snapToGrid w:val="0"/>
          <w:color w:val="auto"/>
          <w:kern w:val="0"/>
          <w:position w:val="-2"/>
          <w:szCs w:val="21"/>
          <w:highlight w:val="none"/>
        </w:rPr>
        <w:t>根据《重庆物流集团有限公司招标采购管理办法》的相关规定，本次采购</w:t>
      </w:r>
      <w:r>
        <w:rPr>
          <w:rFonts w:ascii="宋体" w:hAnsi="宋体"/>
          <w:snapToGrid w:val="0"/>
          <w:color w:val="auto"/>
          <w:kern w:val="0"/>
          <w:position w:val="-2"/>
          <w:szCs w:val="21"/>
          <w:highlight w:val="none"/>
        </w:rPr>
        <w:t>方式为</w:t>
      </w:r>
      <w:r>
        <w:rPr>
          <w:rFonts w:hint="eastAsia" w:ascii="宋体" w:hAnsi="宋体"/>
          <w:snapToGrid w:val="0"/>
          <w:color w:val="auto"/>
          <w:kern w:val="0"/>
          <w:position w:val="-2"/>
          <w:szCs w:val="21"/>
          <w:highlight w:val="none"/>
          <w:u w:val="single"/>
          <w:lang w:val="en-US" w:eastAsia="zh-CN"/>
        </w:rPr>
        <w:t>邀请招标</w:t>
      </w:r>
      <w:r>
        <w:rPr>
          <w:rFonts w:ascii="宋体" w:hAnsi="宋体"/>
          <w:snapToGrid w:val="0"/>
          <w:color w:val="auto"/>
          <w:kern w:val="0"/>
          <w:position w:val="-2"/>
          <w:szCs w:val="21"/>
          <w:highlight w:val="none"/>
        </w:rPr>
        <w:t>。</w:t>
      </w:r>
    </w:p>
    <w:p w14:paraId="364E5541">
      <w:pPr>
        <w:pStyle w:val="4"/>
        <w:numPr>
          <w:ilvl w:val="0"/>
          <w:numId w:val="1"/>
        </w:numPr>
        <w:adjustRightInd w:val="0"/>
        <w:snapToGrid w:val="0"/>
        <w:spacing w:before="0" w:after="0" w:line="360" w:lineRule="auto"/>
        <w:rPr>
          <w:rFonts w:ascii="宋体" w:hAnsi="宋体"/>
          <w:snapToGrid w:val="0"/>
          <w:color w:val="auto"/>
          <w:sz w:val="28"/>
          <w:szCs w:val="28"/>
          <w:highlight w:val="none"/>
        </w:rPr>
      </w:pPr>
      <w:bookmarkStart w:id="23" w:name="_Toc287607729"/>
      <w:bookmarkStart w:id="24" w:name="_Toc224103300"/>
      <w:bookmarkStart w:id="25" w:name="_Toc509218693"/>
      <w:bookmarkStart w:id="26" w:name="_Toc177985647"/>
      <w:bookmarkStart w:id="27" w:name="_Toc200359239"/>
      <w:bookmarkStart w:id="28" w:name="_Toc430530417"/>
      <w:bookmarkStart w:id="29" w:name="_Toc200359428"/>
      <w:bookmarkStart w:id="30" w:name="_Toc277082537"/>
      <w:bookmarkStart w:id="31" w:name="_Toc287620668"/>
      <w:r>
        <w:rPr>
          <w:rFonts w:ascii="宋体" w:hAnsi="宋体"/>
          <w:snapToGrid w:val="0"/>
          <w:color w:val="auto"/>
          <w:sz w:val="28"/>
          <w:szCs w:val="28"/>
          <w:highlight w:val="none"/>
        </w:rPr>
        <w:t>项目概况</w:t>
      </w:r>
      <w:r>
        <w:rPr>
          <w:rFonts w:hint="eastAsia" w:ascii="宋体" w:hAnsi="宋体"/>
          <w:snapToGrid w:val="0"/>
          <w:color w:val="auto"/>
          <w:sz w:val="28"/>
          <w:szCs w:val="28"/>
          <w:highlight w:val="none"/>
        </w:rPr>
        <w:t>和</w:t>
      </w:r>
      <w:r>
        <w:rPr>
          <w:rFonts w:hint="eastAsia" w:ascii="宋体" w:hAnsi="宋体"/>
          <w:snapToGrid w:val="0"/>
          <w:color w:val="auto"/>
          <w:sz w:val="28"/>
          <w:szCs w:val="28"/>
          <w:highlight w:val="none"/>
          <w:lang w:eastAsia="zh-CN"/>
        </w:rPr>
        <w:t>招标</w:t>
      </w:r>
      <w:r>
        <w:rPr>
          <w:rFonts w:ascii="宋体" w:hAnsi="宋体"/>
          <w:snapToGrid w:val="0"/>
          <w:color w:val="auto"/>
          <w:sz w:val="28"/>
          <w:szCs w:val="28"/>
          <w:highlight w:val="none"/>
        </w:rPr>
        <w:t>范围</w:t>
      </w:r>
      <w:bookmarkEnd w:id="23"/>
      <w:bookmarkEnd w:id="24"/>
      <w:bookmarkEnd w:id="25"/>
      <w:bookmarkEnd w:id="26"/>
      <w:bookmarkEnd w:id="27"/>
      <w:bookmarkEnd w:id="28"/>
      <w:bookmarkEnd w:id="29"/>
      <w:bookmarkEnd w:id="30"/>
      <w:bookmarkEnd w:id="31"/>
    </w:p>
    <w:p w14:paraId="161375A5">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lang w:eastAsia="zh-CN"/>
        </w:rPr>
        <w:t>项目概况：东城公共交通有限公司二分公司采购公交车轮胎</w:t>
      </w:r>
      <w:r>
        <w:rPr>
          <w:rFonts w:hint="eastAsia" w:ascii="宋体" w:hAnsi="宋体" w:cs="宋体"/>
          <w:color w:val="auto"/>
          <w:highlight w:val="none"/>
          <w:lang w:val="en-US" w:eastAsia="zh-CN"/>
        </w:rPr>
        <w:t>2390个，规格型号详见第五章招标人要求</w:t>
      </w:r>
      <w:r>
        <w:rPr>
          <w:rFonts w:hint="eastAsia" w:ascii="宋体" w:hAnsi="宋体" w:cs="宋体"/>
          <w:color w:val="auto"/>
          <w:highlight w:val="none"/>
        </w:rPr>
        <w:t>；</w:t>
      </w:r>
    </w:p>
    <w:p w14:paraId="72088E44">
      <w:pPr>
        <w:spacing w:line="360" w:lineRule="auto"/>
        <w:ind w:firstLine="420" w:firstLineChars="200"/>
        <w:jc w:val="left"/>
      </w:pPr>
      <w:r>
        <w:rPr>
          <w:rFonts w:hint="eastAsia" w:ascii="宋体" w:hAnsi="宋体" w:cs="宋体"/>
          <w:color w:val="auto"/>
          <w:highlight w:val="none"/>
          <w:lang w:eastAsia="zh-CN"/>
        </w:rPr>
        <w:t>招标范围：在服务期内按照招标清单中对应的轮胎数量及型号进行供货。</w:t>
      </w:r>
    </w:p>
    <w:p w14:paraId="45D8DBF4">
      <w:pPr>
        <w:pStyle w:val="4"/>
        <w:adjustRightInd w:val="0"/>
        <w:snapToGrid w:val="0"/>
        <w:spacing w:before="0" w:after="0" w:line="360" w:lineRule="auto"/>
        <w:rPr>
          <w:rFonts w:ascii="宋体" w:hAnsi="宋体"/>
          <w:snapToGrid w:val="0"/>
          <w:color w:val="auto"/>
          <w:sz w:val="28"/>
          <w:szCs w:val="28"/>
          <w:highlight w:val="none"/>
        </w:rPr>
      </w:pPr>
      <w:bookmarkStart w:id="32" w:name="_Toc509218694"/>
      <w:bookmarkStart w:id="33" w:name="_Toc277082538"/>
      <w:bookmarkStart w:id="34" w:name="_Toc177985648"/>
      <w:bookmarkStart w:id="35" w:name="_Toc430530418"/>
      <w:bookmarkStart w:id="36" w:name="_Toc287607730"/>
      <w:bookmarkStart w:id="37" w:name="_Toc200359429"/>
      <w:bookmarkStart w:id="38" w:name="_Toc224103301"/>
      <w:bookmarkStart w:id="39" w:name="_Toc287620669"/>
      <w:bookmarkStart w:id="40" w:name="_Toc200359240"/>
      <w:r>
        <w:rPr>
          <w:rFonts w:hint="eastAsia" w:ascii="宋体" w:hAnsi="宋体"/>
          <w:snapToGrid w:val="0"/>
          <w:color w:val="auto"/>
          <w:sz w:val="28"/>
          <w:szCs w:val="28"/>
          <w:highlight w:val="none"/>
        </w:rPr>
        <w:t>三、</w:t>
      </w:r>
      <w:r>
        <w:rPr>
          <w:rFonts w:hint="eastAsia" w:ascii="宋体" w:hAnsi="宋体"/>
          <w:snapToGrid w:val="0"/>
          <w:color w:val="auto"/>
          <w:sz w:val="28"/>
          <w:szCs w:val="28"/>
          <w:highlight w:val="none"/>
          <w:lang w:eastAsia="zh-CN"/>
        </w:rPr>
        <w:t>投标人</w:t>
      </w:r>
      <w:r>
        <w:rPr>
          <w:rFonts w:ascii="宋体" w:hAnsi="宋体"/>
          <w:snapToGrid w:val="0"/>
          <w:color w:val="auto"/>
          <w:sz w:val="28"/>
          <w:szCs w:val="28"/>
          <w:highlight w:val="none"/>
        </w:rPr>
        <w:t>资格要求</w:t>
      </w:r>
      <w:bookmarkEnd w:id="32"/>
      <w:bookmarkEnd w:id="33"/>
      <w:bookmarkEnd w:id="34"/>
      <w:bookmarkEnd w:id="35"/>
      <w:bookmarkEnd w:id="36"/>
      <w:bookmarkEnd w:id="37"/>
      <w:bookmarkEnd w:id="38"/>
      <w:bookmarkEnd w:id="39"/>
      <w:bookmarkEnd w:id="40"/>
    </w:p>
    <w:p w14:paraId="643237F9">
      <w:pPr>
        <w:spacing w:line="360" w:lineRule="auto"/>
        <w:ind w:firstLine="420" w:firstLineChars="200"/>
        <w:jc w:val="left"/>
        <w:rPr>
          <w:rFonts w:hint="eastAsia" w:ascii="宋体" w:hAnsi="宋体" w:cs="宋体"/>
          <w:color w:val="auto"/>
          <w:highlight w:val="none"/>
        </w:rPr>
      </w:pPr>
      <w:bookmarkStart w:id="41" w:name="_Toc287620670"/>
      <w:bookmarkStart w:id="42" w:name="_Toc430530419"/>
      <w:bookmarkStart w:id="43" w:name="_Toc509218695"/>
      <w:bookmarkStart w:id="44" w:name="_Toc200359430"/>
      <w:bookmarkStart w:id="45" w:name="_Toc224103302"/>
      <w:bookmarkStart w:id="46" w:name="_Toc200359241"/>
      <w:bookmarkStart w:id="47" w:name="_Toc287607731"/>
      <w:bookmarkStart w:id="48" w:name="_Toc277082539"/>
      <w:r>
        <w:rPr>
          <w:rFonts w:hint="eastAsia" w:ascii="宋体" w:hAnsi="宋体" w:cs="宋体"/>
          <w:color w:val="auto"/>
          <w:highlight w:val="none"/>
        </w:rPr>
        <w:t>（1）</w:t>
      </w:r>
      <w:r>
        <w:rPr>
          <w:rFonts w:hint="eastAsia" w:ascii="宋体" w:hAnsi="宋体" w:cs="宋体"/>
          <w:color w:val="auto"/>
          <w:highlight w:val="none"/>
          <w:lang w:eastAsia="zh-CN"/>
        </w:rPr>
        <w:t>投标人</w:t>
      </w:r>
      <w:r>
        <w:rPr>
          <w:rFonts w:hint="eastAsia" w:ascii="宋体" w:hAnsi="宋体" w:cs="宋体"/>
          <w:color w:val="auto"/>
          <w:highlight w:val="none"/>
        </w:rPr>
        <w:t>必须是在中华人民共和国境内注册的独立法人；</w:t>
      </w:r>
    </w:p>
    <w:p w14:paraId="51463371">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（2）其他要求详见第二章</w:t>
      </w:r>
      <w:r>
        <w:rPr>
          <w:rFonts w:hint="eastAsia" w:ascii="宋体" w:hAnsi="宋体" w:cs="宋体"/>
          <w:color w:val="auto"/>
          <w:highlight w:val="none"/>
          <w:lang w:eastAsia="zh-CN"/>
        </w:rPr>
        <w:t>投标人</w:t>
      </w:r>
      <w:r>
        <w:rPr>
          <w:rFonts w:hint="eastAsia" w:ascii="宋体" w:hAnsi="宋体" w:cs="宋体"/>
          <w:color w:val="auto"/>
          <w:highlight w:val="none"/>
        </w:rPr>
        <w:t>须知前附表第1.4.1项内容。</w:t>
      </w:r>
    </w:p>
    <w:p w14:paraId="68D36B0F">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本项目</w:t>
      </w:r>
      <w:r>
        <w:rPr>
          <w:rFonts w:ascii="宋体" w:hAnsi="宋体"/>
          <w:snapToGrid w:val="0"/>
          <w:color w:val="auto"/>
          <w:kern w:val="0"/>
          <w:szCs w:val="21"/>
          <w:highlight w:val="none"/>
        </w:rPr>
        <w:t>不允许联合体参与</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w:t>
      </w:r>
    </w:p>
    <w:p w14:paraId="013DB7DD">
      <w:pPr>
        <w:pStyle w:val="4"/>
        <w:adjustRightInd w:val="0"/>
        <w:snapToGrid w:val="0"/>
        <w:spacing w:before="0" w:after="0" w:line="360" w:lineRule="auto"/>
        <w:rPr>
          <w:rFonts w:ascii="宋体" w:hAnsi="宋体"/>
          <w:b w:val="0"/>
          <w:bCs w:val="0"/>
          <w:snapToGrid w:val="0"/>
          <w:color w:val="auto"/>
          <w:sz w:val="21"/>
          <w:szCs w:val="21"/>
          <w:highlight w:val="none"/>
        </w:rPr>
      </w:pPr>
      <w:bookmarkStart w:id="49" w:name="_Toc177985649"/>
      <w:r>
        <w:rPr>
          <w:rFonts w:hint="eastAsia" w:ascii="宋体" w:hAnsi="宋体"/>
          <w:snapToGrid w:val="0"/>
          <w:color w:val="auto"/>
          <w:sz w:val="28"/>
          <w:szCs w:val="28"/>
          <w:highlight w:val="none"/>
        </w:rPr>
        <w:t>四、</w:t>
      </w:r>
      <w:r>
        <w:rPr>
          <w:rFonts w:hint="eastAsia" w:ascii="宋体" w:hAnsi="宋体"/>
          <w:snapToGrid w:val="0"/>
          <w:color w:val="auto"/>
          <w:sz w:val="28"/>
          <w:szCs w:val="28"/>
          <w:highlight w:val="none"/>
          <w:lang w:eastAsia="zh-CN"/>
        </w:rPr>
        <w:t>招标</w:t>
      </w:r>
      <w:r>
        <w:rPr>
          <w:rFonts w:ascii="宋体" w:hAnsi="宋体"/>
          <w:snapToGrid w:val="0"/>
          <w:color w:val="auto"/>
          <w:sz w:val="28"/>
          <w:szCs w:val="28"/>
          <w:highlight w:val="none"/>
        </w:rPr>
        <w:t>文件的获取</w:t>
      </w:r>
      <w:bookmarkEnd w:id="41"/>
      <w:bookmarkEnd w:id="42"/>
      <w:bookmarkEnd w:id="43"/>
      <w:bookmarkEnd w:id="44"/>
      <w:bookmarkEnd w:id="45"/>
      <w:bookmarkEnd w:id="46"/>
      <w:bookmarkEnd w:id="47"/>
      <w:bookmarkEnd w:id="48"/>
      <w:bookmarkEnd w:id="49"/>
    </w:p>
    <w:p w14:paraId="67D8A29C">
      <w:pPr>
        <w:tabs>
          <w:tab w:val="left" w:pos="2420"/>
          <w:tab w:val="left" w:pos="5460"/>
        </w:tabs>
        <w:autoSpaceDE w:val="0"/>
        <w:autoSpaceDN w:val="0"/>
        <w:adjustRightInd w:val="0"/>
        <w:snapToGrid w:val="0"/>
        <w:spacing w:line="360" w:lineRule="auto"/>
        <w:ind w:firstLine="420"/>
        <w:rPr>
          <w:rFonts w:ascii="宋体" w:hAnsi="宋体"/>
          <w:snapToGrid w:val="0"/>
          <w:color w:val="auto"/>
          <w:kern w:val="0"/>
          <w:szCs w:val="21"/>
          <w:highlight w:val="none"/>
        </w:rPr>
      </w:pPr>
      <w:bookmarkStart w:id="50" w:name="_Toc287607732"/>
      <w:bookmarkStart w:id="51" w:name="_Toc277082540"/>
      <w:bookmarkStart w:id="52" w:name="_Toc224103303"/>
      <w:bookmarkStart w:id="53" w:name="_Toc287620671"/>
      <w:bookmarkStart w:id="54" w:name="_Toc509218696"/>
      <w:bookmarkStart w:id="55" w:name="_Toc200359431"/>
      <w:bookmarkStart w:id="56" w:name="_Toc430530420"/>
      <w:bookmarkStart w:id="57" w:name="_Toc200359242"/>
      <w:r>
        <w:rPr>
          <w:rFonts w:hint="eastAsia" w:ascii="宋体" w:hAnsi="宋体"/>
          <w:snapToGrid w:val="0"/>
          <w:color w:val="auto"/>
          <w:kern w:val="0"/>
          <w:szCs w:val="21"/>
          <w:highlight w:val="none"/>
        </w:rPr>
        <w:t>获取时间：从202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3</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27</w:t>
      </w:r>
      <w:r>
        <w:rPr>
          <w:rFonts w:hint="eastAsia" w:ascii="宋体" w:hAnsi="宋体"/>
          <w:snapToGrid w:val="0"/>
          <w:color w:val="auto"/>
          <w:kern w:val="0"/>
          <w:szCs w:val="21"/>
          <w:highlight w:val="none"/>
        </w:rPr>
        <w:t>日到202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02</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rPr>
        <w:t>17</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rPr>
        <w:t>00</w:t>
      </w:r>
      <w:r>
        <w:rPr>
          <w:rFonts w:hint="eastAsia" w:ascii="宋体" w:hAnsi="宋体"/>
          <w:snapToGrid w:val="0"/>
          <w:color w:val="auto"/>
          <w:kern w:val="0"/>
          <w:szCs w:val="21"/>
          <w:highlight w:val="none"/>
        </w:rPr>
        <w:t>分</w:t>
      </w:r>
    </w:p>
    <w:p w14:paraId="70A4C276">
      <w:pPr>
        <w:tabs>
          <w:tab w:val="left" w:pos="2420"/>
          <w:tab w:val="left" w:pos="5445"/>
        </w:tabs>
        <w:autoSpaceDE w:val="0"/>
        <w:autoSpaceDN w:val="0"/>
        <w:adjustRightInd w:val="0"/>
        <w:snapToGrid w:val="0"/>
        <w:spacing w:line="360" w:lineRule="auto"/>
        <w:ind w:firstLine="42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获取方式：本目</w:t>
      </w:r>
      <w:r>
        <w:rPr>
          <w:rFonts w:hint="eastAsia" w:ascii="宋体" w:hAnsi="宋体"/>
          <w:snapToGrid w:val="0"/>
          <w:color w:val="auto"/>
          <w:kern w:val="0"/>
          <w:szCs w:val="21"/>
          <w:highlight w:val="none"/>
          <w:lang w:eastAsia="zh-CN"/>
        </w:rPr>
        <w:t>为邀请招标</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代理机构将邀</w:t>
      </w:r>
      <w:r>
        <w:rPr>
          <w:rFonts w:hint="eastAsia" w:ascii="宋体" w:hAnsi="宋体"/>
          <w:snapToGrid w:val="0"/>
          <w:color w:val="auto"/>
          <w:kern w:val="0"/>
          <w:szCs w:val="21"/>
          <w:highlight w:val="none"/>
        </w:rPr>
        <w:t>标文件</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清单（如有）、澄清、修改、补充通知、最高限价通知等全部</w:t>
      </w:r>
      <w:r>
        <w:rPr>
          <w:rFonts w:hint="eastAsia" w:ascii="宋体" w:hAnsi="宋体"/>
          <w:snapToGrid w:val="0"/>
          <w:color w:val="auto"/>
          <w:kern w:val="0"/>
          <w:szCs w:val="21"/>
          <w:highlight w:val="none"/>
          <w:lang w:eastAsia="zh-CN"/>
        </w:rPr>
        <w:t>邀</w:t>
      </w:r>
      <w:r>
        <w:rPr>
          <w:rFonts w:hint="eastAsia" w:ascii="宋体" w:hAnsi="宋体"/>
          <w:snapToGrid w:val="0"/>
          <w:color w:val="auto"/>
          <w:kern w:val="0"/>
          <w:szCs w:val="21"/>
          <w:highlight w:val="none"/>
        </w:rPr>
        <w:t>标资料通过</w:t>
      </w:r>
      <w:r>
        <w:rPr>
          <w:rFonts w:hint="eastAsia" w:ascii="宋体" w:hAnsi="宋体"/>
          <w:snapToGrid w:val="0"/>
          <w:color w:val="auto"/>
          <w:kern w:val="0"/>
          <w:szCs w:val="21"/>
          <w:highlight w:val="none"/>
          <w:lang w:eastAsia="zh-CN"/>
        </w:rPr>
        <w:t>电子邮件的方式</w:t>
      </w:r>
      <w:r>
        <w:rPr>
          <w:rFonts w:hint="eastAsia" w:ascii="宋体" w:hAnsi="宋体"/>
          <w:snapToGrid w:val="0"/>
          <w:color w:val="auto"/>
          <w:kern w:val="0"/>
          <w:szCs w:val="21"/>
          <w:highlight w:val="none"/>
        </w:rPr>
        <w:t>送达所有被邀请</w:t>
      </w:r>
      <w:r>
        <w:rPr>
          <w:rFonts w:hint="eastAsia" w:ascii="宋体" w:hAnsi="宋体"/>
          <w:snapToGrid w:val="0"/>
          <w:color w:val="auto"/>
          <w:kern w:val="0"/>
          <w:szCs w:val="21"/>
          <w:highlight w:val="none"/>
          <w:lang w:eastAsia="zh-CN"/>
        </w:rPr>
        <w:t>的</w:t>
      </w:r>
      <w:r>
        <w:rPr>
          <w:rFonts w:hint="eastAsia" w:ascii="宋体" w:hAnsi="宋体"/>
          <w:snapToGrid w:val="0"/>
          <w:color w:val="auto"/>
          <w:kern w:val="0"/>
          <w:szCs w:val="21"/>
          <w:highlight w:val="none"/>
        </w:rPr>
        <w:t>投标人。</w:t>
      </w:r>
    </w:p>
    <w:p w14:paraId="6DCC87BB">
      <w:pPr>
        <w:tabs>
          <w:tab w:val="left" w:pos="2420"/>
          <w:tab w:val="left" w:pos="5445"/>
        </w:tabs>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确认：</w:t>
      </w:r>
      <w:r>
        <w:rPr>
          <w:rFonts w:hint="eastAsia" w:ascii="宋体" w:hAnsi="宋体"/>
          <w:snapToGrid w:val="0"/>
          <w:color w:val="auto"/>
          <w:kern w:val="0"/>
          <w:szCs w:val="21"/>
          <w:highlight w:val="none"/>
        </w:rPr>
        <w:t>本招标项目被邀请</w:t>
      </w:r>
      <w:r>
        <w:rPr>
          <w:rFonts w:hint="eastAsia" w:ascii="宋体" w:hAnsi="宋体"/>
          <w:snapToGrid w:val="0"/>
          <w:color w:val="auto"/>
          <w:kern w:val="0"/>
          <w:szCs w:val="21"/>
          <w:highlight w:val="none"/>
          <w:lang w:eastAsia="zh-CN"/>
        </w:rPr>
        <w:t>的</w:t>
      </w:r>
      <w:r>
        <w:rPr>
          <w:rFonts w:hint="eastAsia" w:ascii="宋体" w:hAnsi="宋体"/>
          <w:snapToGrid w:val="0"/>
          <w:color w:val="auto"/>
          <w:kern w:val="0"/>
          <w:szCs w:val="21"/>
          <w:highlight w:val="none"/>
        </w:rPr>
        <w:t>投标人通过</w:t>
      </w:r>
      <w:r>
        <w:rPr>
          <w:rFonts w:hint="eastAsia" w:ascii="宋体" w:hAnsi="宋体"/>
          <w:snapToGrid w:val="0"/>
          <w:color w:val="auto"/>
          <w:kern w:val="0"/>
          <w:szCs w:val="21"/>
          <w:highlight w:val="none"/>
          <w:lang w:eastAsia="zh-CN"/>
        </w:rPr>
        <w:t>电子邮件回复</w:t>
      </w:r>
      <w:r>
        <w:rPr>
          <w:rFonts w:hint="eastAsia" w:ascii="宋体" w:hAnsi="宋体"/>
          <w:snapToGrid w:val="0"/>
          <w:color w:val="auto"/>
          <w:kern w:val="0"/>
          <w:szCs w:val="21"/>
          <w:highlight w:val="none"/>
        </w:rPr>
        <w:t>确认。</w:t>
      </w:r>
    </w:p>
    <w:bookmarkEnd w:id="10"/>
    <w:bookmarkEnd w:id="50"/>
    <w:bookmarkEnd w:id="51"/>
    <w:bookmarkEnd w:id="52"/>
    <w:bookmarkEnd w:id="53"/>
    <w:bookmarkEnd w:id="54"/>
    <w:bookmarkEnd w:id="55"/>
    <w:bookmarkEnd w:id="56"/>
    <w:bookmarkEnd w:id="57"/>
    <w:p w14:paraId="32B0BCEA">
      <w:pPr>
        <w:pStyle w:val="4"/>
        <w:adjustRightInd w:val="0"/>
        <w:snapToGrid w:val="0"/>
        <w:spacing w:before="0" w:after="0" w:line="360" w:lineRule="auto"/>
        <w:rPr>
          <w:rFonts w:ascii="宋体" w:hAnsi="宋体"/>
          <w:snapToGrid w:val="0"/>
          <w:color w:val="auto"/>
          <w:sz w:val="28"/>
          <w:szCs w:val="28"/>
          <w:highlight w:val="none"/>
        </w:rPr>
      </w:pPr>
      <w:bookmarkStart w:id="58" w:name="_Toc177985650"/>
      <w:r>
        <w:rPr>
          <w:rFonts w:hint="eastAsia" w:ascii="宋体" w:hAnsi="宋体"/>
          <w:snapToGrid w:val="0"/>
          <w:color w:val="auto"/>
          <w:sz w:val="28"/>
          <w:szCs w:val="28"/>
          <w:highlight w:val="none"/>
        </w:rPr>
        <w:t>五、</w:t>
      </w:r>
      <w:r>
        <w:rPr>
          <w:rFonts w:hint="eastAsia" w:ascii="宋体" w:hAnsi="宋体"/>
          <w:snapToGrid w:val="0"/>
          <w:color w:val="auto"/>
          <w:sz w:val="28"/>
          <w:szCs w:val="28"/>
          <w:highlight w:val="none"/>
          <w:lang w:eastAsia="zh-CN"/>
        </w:rPr>
        <w:t>投标文件</w:t>
      </w:r>
      <w:r>
        <w:rPr>
          <w:rFonts w:ascii="宋体" w:hAnsi="宋体"/>
          <w:snapToGrid w:val="0"/>
          <w:color w:val="auto"/>
          <w:sz w:val="28"/>
          <w:szCs w:val="28"/>
          <w:highlight w:val="none"/>
        </w:rPr>
        <w:t>的递交</w:t>
      </w:r>
      <w:bookmarkEnd w:id="58"/>
    </w:p>
    <w:p w14:paraId="0FE177A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递交截止时间：20</w:t>
      </w: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03</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rPr>
        <w:t>00</w:t>
      </w:r>
      <w:r>
        <w:rPr>
          <w:rFonts w:hint="eastAsia" w:ascii="宋体" w:hAnsi="宋体"/>
          <w:snapToGrid w:val="0"/>
          <w:color w:val="auto"/>
          <w:kern w:val="0"/>
          <w:szCs w:val="21"/>
          <w:highlight w:val="none"/>
        </w:rPr>
        <w:t>分</w:t>
      </w:r>
    </w:p>
    <w:p w14:paraId="28EF44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递交方式：</w:t>
      </w:r>
      <w:r>
        <w:rPr>
          <w:rFonts w:hint="eastAsia" w:ascii="宋体" w:hAnsi="宋体"/>
          <w:snapToGrid w:val="0"/>
          <w:color w:val="auto"/>
          <w:kern w:val="0"/>
          <w:szCs w:val="21"/>
          <w:highlight w:val="none"/>
        </w:rPr>
        <w:t>正信伟业工程咨询管理有限公司（重庆市渝北区恒大山水城4期11栋商铺二楼）。逾期送达或未送达指定地点，或未按要求密封的</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将不予受理。</w:t>
      </w:r>
    </w:p>
    <w:p w14:paraId="68F66CC3">
      <w:pPr>
        <w:pStyle w:val="4"/>
        <w:adjustRightInd w:val="0"/>
        <w:snapToGrid w:val="0"/>
        <w:spacing w:before="0" w:after="0" w:line="360" w:lineRule="auto"/>
        <w:rPr>
          <w:rFonts w:hint="eastAsia" w:ascii="宋体" w:hAnsi="宋体"/>
          <w:snapToGrid w:val="0"/>
          <w:color w:val="auto"/>
          <w:sz w:val="28"/>
          <w:szCs w:val="28"/>
          <w:highlight w:val="none"/>
        </w:rPr>
      </w:pPr>
      <w:bookmarkStart w:id="59" w:name="_Toc177985651"/>
      <w:bookmarkStart w:id="60" w:name="_Toc277082541"/>
      <w:bookmarkStart w:id="61" w:name="_Toc287620672"/>
      <w:bookmarkStart w:id="62" w:name="_Toc430530421"/>
      <w:bookmarkStart w:id="63" w:name="_Toc509218697"/>
      <w:bookmarkStart w:id="64" w:name="_Toc287607733"/>
      <w:bookmarkStart w:id="65" w:name="_Toc224103304"/>
      <w:bookmarkStart w:id="66" w:name="_Toc200359243"/>
      <w:bookmarkStart w:id="67" w:name="_Toc200359432"/>
      <w:r>
        <w:rPr>
          <w:rFonts w:hint="eastAsia" w:ascii="宋体" w:hAnsi="宋体"/>
          <w:snapToGrid w:val="0"/>
          <w:color w:val="auto"/>
          <w:sz w:val="28"/>
          <w:szCs w:val="28"/>
          <w:highlight w:val="none"/>
        </w:rPr>
        <w:t>六、开标时间及地点</w:t>
      </w:r>
      <w:bookmarkEnd w:id="59"/>
    </w:p>
    <w:p w14:paraId="3A7C82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开标时间：20</w:t>
      </w:r>
      <w:r>
        <w:rPr>
          <w:rFonts w:hint="eastAsia" w:ascii="宋体" w:hAnsi="宋体"/>
          <w:snapToGrid w:val="0"/>
          <w:color w:val="auto"/>
          <w:kern w:val="0"/>
          <w:szCs w:val="21"/>
          <w:highlight w:val="none"/>
        </w:rPr>
        <w:t>2</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0</w:t>
      </w:r>
      <w:r>
        <w:rPr>
          <w:rFonts w:hint="eastAsia" w:ascii="宋体" w:hAnsi="宋体"/>
          <w:snapToGrid w:val="0"/>
          <w:color w:val="auto"/>
          <w:kern w:val="0"/>
          <w:szCs w:val="21"/>
          <w:highlight w:val="none"/>
          <w:u w:val="single"/>
          <w:lang w:val="en-US" w:eastAsia="zh-CN"/>
        </w:rPr>
        <w:t>4</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03</w:t>
      </w:r>
      <w:r>
        <w:rPr>
          <w:rFonts w:hint="eastAsia" w:ascii="宋体" w:hAnsi="宋体"/>
          <w:snapToGrid w:val="0"/>
          <w:color w:val="auto"/>
          <w:kern w:val="0"/>
          <w:szCs w:val="21"/>
          <w:highlight w:val="none"/>
        </w:rPr>
        <w:t>日</w:t>
      </w:r>
      <w:r>
        <w:rPr>
          <w:rFonts w:hint="eastAsia" w:ascii="宋体" w:hAnsi="宋体"/>
          <w:snapToGrid w:val="0"/>
          <w:color w:val="auto"/>
          <w:kern w:val="0"/>
          <w:szCs w:val="21"/>
          <w:highlight w:val="none"/>
          <w:u w:val="single"/>
        </w:rPr>
        <w:t>10</w:t>
      </w:r>
      <w:r>
        <w:rPr>
          <w:rFonts w:hint="eastAsia" w:ascii="宋体" w:hAnsi="宋体"/>
          <w:snapToGrid w:val="0"/>
          <w:color w:val="auto"/>
          <w:kern w:val="0"/>
          <w:szCs w:val="21"/>
          <w:highlight w:val="none"/>
        </w:rPr>
        <w:t>时</w:t>
      </w:r>
      <w:r>
        <w:rPr>
          <w:rFonts w:hint="eastAsia" w:ascii="宋体" w:hAnsi="宋体"/>
          <w:snapToGrid w:val="0"/>
          <w:color w:val="auto"/>
          <w:kern w:val="0"/>
          <w:szCs w:val="21"/>
          <w:highlight w:val="none"/>
          <w:u w:val="single"/>
        </w:rPr>
        <w:t>00</w:t>
      </w:r>
      <w:r>
        <w:rPr>
          <w:rFonts w:hint="eastAsia" w:ascii="宋体" w:hAnsi="宋体"/>
          <w:snapToGrid w:val="0"/>
          <w:color w:val="auto"/>
          <w:kern w:val="0"/>
          <w:szCs w:val="21"/>
          <w:highlight w:val="none"/>
        </w:rPr>
        <w:t>分</w:t>
      </w:r>
    </w:p>
    <w:p w14:paraId="1C5F635E">
      <w:pPr>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开标地点：</w:t>
      </w:r>
      <w:r>
        <w:rPr>
          <w:rFonts w:hint="eastAsia" w:ascii="宋体" w:hAnsi="宋体"/>
          <w:snapToGrid w:val="0"/>
          <w:color w:val="auto"/>
          <w:kern w:val="0"/>
          <w:szCs w:val="21"/>
          <w:highlight w:val="none"/>
        </w:rPr>
        <w:t>正信伟业工程咨询管理有限公司（重庆市渝北区恒大山水城4期11栋商铺二楼）。</w:t>
      </w:r>
    </w:p>
    <w:bookmarkEnd w:id="60"/>
    <w:bookmarkEnd w:id="61"/>
    <w:bookmarkEnd w:id="62"/>
    <w:bookmarkEnd w:id="63"/>
    <w:bookmarkEnd w:id="64"/>
    <w:bookmarkEnd w:id="65"/>
    <w:bookmarkEnd w:id="66"/>
    <w:bookmarkEnd w:id="67"/>
    <w:p w14:paraId="631F7785">
      <w:pPr>
        <w:pStyle w:val="4"/>
        <w:adjustRightInd w:val="0"/>
        <w:snapToGrid w:val="0"/>
        <w:spacing w:before="0" w:after="0" w:line="360" w:lineRule="auto"/>
        <w:rPr>
          <w:rFonts w:ascii="宋体" w:hAnsi="宋体"/>
          <w:snapToGrid w:val="0"/>
          <w:color w:val="auto"/>
          <w:sz w:val="28"/>
          <w:szCs w:val="28"/>
          <w:highlight w:val="none"/>
        </w:rPr>
      </w:pPr>
      <w:bookmarkStart w:id="68" w:name="_Toc177985652"/>
      <w:r>
        <w:rPr>
          <w:rFonts w:hint="eastAsia" w:ascii="宋体" w:hAnsi="宋体"/>
          <w:snapToGrid w:val="0"/>
          <w:color w:val="auto"/>
          <w:sz w:val="28"/>
          <w:szCs w:val="28"/>
          <w:highlight w:val="none"/>
        </w:rPr>
        <w:t>七、其他</w:t>
      </w:r>
      <w:bookmarkEnd w:id="68"/>
    </w:p>
    <w:p w14:paraId="1073D66E">
      <w:pPr>
        <w:tabs>
          <w:tab w:val="left" w:pos="495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本次</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公告在“重庆东城公共交通有限公司二分公司官方网站”（</w:t>
      </w:r>
      <w:r>
        <w:rPr>
          <w:rFonts w:ascii="宋体" w:hAnsi="宋体"/>
          <w:snapToGrid w:val="0"/>
          <w:color w:val="auto"/>
          <w:kern w:val="0"/>
          <w:szCs w:val="21"/>
          <w:highlight w:val="none"/>
        </w:rPr>
        <w:t>https://</w:t>
      </w:r>
      <w:r>
        <w:rPr>
          <w:rFonts w:hint="eastAsia" w:ascii="宋体" w:hAnsi="宋体"/>
          <w:snapToGrid w:val="0"/>
          <w:color w:val="auto"/>
          <w:kern w:val="0"/>
          <w:szCs w:val="21"/>
          <w:highlight w:val="none"/>
        </w:rPr>
        <w:t>http://www.cqdcgj.com/）发布。</w:t>
      </w:r>
    </w:p>
    <w:p w14:paraId="63CB0FD3">
      <w:pPr>
        <w:pStyle w:val="4"/>
        <w:adjustRightInd w:val="0"/>
        <w:snapToGrid w:val="0"/>
        <w:spacing w:before="0" w:after="0" w:line="360" w:lineRule="auto"/>
        <w:rPr>
          <w:rFonts w:hint="eastAsia" w:ascii="宋体" w:hAnsi="宋体"/>
          <w:snapToGrid w:val="0"/>
          <w:color w:val="auto"/>
          <w:sz w:val="28"/>
          <w:szCs w:val="28"/>
          <w:highlight w:val="none"/>
        </w:rPr>
      </w:pPr>
      <w:bookmarkStart w:id="69" w:name="_Toc177985653"/>
      <w:bookmarkStart w:id="70" w:name="_Toc224103305"/>
      <w:bookmarkStart w:id="71" w:name="_Toc287620673"/>
      <w:bookmarkStart w:id="72" w:name="_Toc287607734"/>
      <w:bookmarkStart w:id="73" w:name="_Toc430530422"/>
      <w:bookmarkStart w:id="74" w:name="_Toc277082542"/>
      <w:bookmarkStart w:id="75" w:name="_Toc509218698"/>
      <w:r>
        <w:rPr>
          <w:rFonts w:hint="eastAsia" w:ascii="宋体" w:hAnsi="宋体"/>
          <w:snapToGrid w:val="0"/>
          <w:color w:val="auto"/>
          <w:sz w:val="28"/>
          <w:szCs w:val="28"/>
          <w:highlight w:val="none"/>
        </w:rPr>
        <w:t>八、监督部门</w:t>
      </w:r>
      <w:bookmarkEnd w:id="69"/>
    </w:p>
    <w:p w14:paraId="15B89F52">
      <w:pPr>
        <w:tabs>
          <w:tab w:val="left" w:pos="4950"/>
        </w:tabs>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项目的监督部门为重庆东城公共交通有限公司二分公司。</w:t>
      </w:r>
    </w:p>
    <w:p w14:paraId="0C376545">
      <w:pPr>
        <w:pStyle w:val="4"/>
        <w:adjustRightInd w:val="0"/>
        <w:snapToGrid w:val="0"/>
        <w:spacing w:before="0" w:after="0" w:line="360" w:lineRule="auto"/>
        <w:rPr>
          <w:rFonts w:ascii="宋体" w:hAnsi="宋体"/>
          <w:snapToGrid w:val="0"/>
          <w:color w:val="auto"/>
          <w:sz w:val="28"/>
          <w:szCs w:val="28"/>
          <w:highlight w:val="none"/>
        </w:rPr>
      </w:pPr>
      <w:bookmarkStart w:id="76" w:name="_Toc177985654"/>
      <w:r>
        <w:rPr>
          <w:rFonts w:hint="eastAsia" w:ascii="宋体" w:hAnsi="宋体"/>
          <w:snapToGrid w:val="0"/>
          <w:color w:val="auto"/>
          <w:sz w:val="28"/>
          <w:szCs w:val="28"/>
          <w:highlight w:val="none"/>
        </w:rPr>
        <w:t>九、</w:t>
      </w:r>
      <w:r>
        <w:rPr>
          <w:rFonts w:ascii="宋体" w:hAnsi="宋体"/>
          <w:snapToGrid w:val="0"/>
          <w:color w:val="auto"/>
          <w:sz w:val="28"/>
          <w:szCs w:val="28"/>
          <w:highlight w:val="none"/>
        </w:rPr>
        <w:t>联系方式</w:t>
      </w:r>
      <w:bookmarkEnd w:id="70"/>
      <w:bookmarkEnd w:id="71"/>
      <w:bookmarkEnd w:id="72"/>
      <w:bookmarkEnd w:id="73"/>
      <w:bookmarkEnd w:id="74"/>
      <w:bookmarkEnd w:id="75"/>
      <w:bookmarkEnd w:id="76"/>
    </w:p>
    <w:p w14:paraId="4C57813E">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比 选 人：重庆东城公共交通有限公司二分公司</w:t>
      </w:r>
    </w:p>
    <w:p w14:paraId="3AA7FBBC">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址：重庆市渝北区龙兴镇普福大道458号</w:t>
      </w:r>
    </w:p>
    <w:p w14:paraId="0DBCC673">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联 系 人：</w:t>
      </w:r>
      <w:r>
        <w:rPr>
          <w:rFonts w:hint="eastAsia" w:ascii="宋体" w:hAnsi="宋体" w:eastAsia="宋体" w:cs="Times New Roman"/>
          <w:snapToGrid w:val="0"/>
          <w:color w:val="auto"/>
          <w:kern w:val="0"/>
          <w:szCs w:val="21"/>
          <w:highlight w:val="none"/>
          <w:lang w:val="en-US" w:eastAsia="zh-CN"/>
        </w:rPr>
        <w:t>叶先生</w:t>
      </w:r>
      <w:r>
        <w:rPr>
          <w:rFonts w:hint="eastAsia" w:ascii="宋体" w:hAnsi="宋体" w:eastAsia="宋体" w:cs="Times New Roman"/>
          <w:snapToGrid w:val="0"/>
          <w:color w:val="auto"/>
          <w:kern w:val="0"/>
          <w:szCs w:val="21"/>
          <w:highlight w:val="none"/>
          <w:lang w:val="en-US" w:eastAsia="zh-CN"/>
        </w:rPr>
        <w:tab/>
      </w:r>
    </w:p>
    <w:p w14:paraId="201B6644">
      <w:pPr>
        <w:tabs>
          <w:tab w:val="left" w:pos="5140"/>
          <w:tab w:val="left" w:pos="8520"/>
        </w:tabs>
        <w:autoSpaceDE w:val="0"/>
        <w:autoSpaceDN w:val="0"/>
        <w:adjustRightInd w:val="0"/>
        <w:snapToGrid w:val="0"/>
        <w:spacing w:line="360" w:lineRule="auto"/>
        <w:ind w:firstLine="420" w:firstLineChars="200"/>
        <w:jc w:val="left"/>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电    话：</w:t>
      </w:r>
      <w:r>
        <w:rPr>
          <w:rFonts w:hint="eastAsia" w:ascii="宋体" w:hAnsi="宋体" w:eastAsia="宋体" w:cs="Times New Roman"/>
          <w:snapToGrid w:val="0"/>
          <w:color w:val="auto"/>
          <w:kern w:val="0"/>
          <w:szCs w:val="21"/>
          <w:highlight w:val="none"/>
          <w:lang w:val="en-US" w:eastAsia="zh-CN"/>
        </w:rPr>
        <w:t>13983211958</w:t>
      </w:r>
    </w:p>
    <w:p w14:paraId="13BCA416">
      <w:pPr>
        <w:tabs>
          <w:tab w:val="left" w:pos="5140"/>
          <w:tab w:val="left" w:pos="8520"/>
        </w:tabs>
        <w:autoSpaceDE w:val="0"/>
        <w:autoSpaceDN w:val="0"/>
        <w:adjustRightInd w:val="0"/>
        <w:snapToGrid w:val="0"/>
        <w:spacing w:line="360" w:lineRule="auto"/>
        <w:ind w:firstLine="420" w:firstLineChars="200"/>
        <w:jc w:val="left"/>
        <w:rPr>
          <w:rFonts w:ascii="宋体" w:hAnsi="宋体"/>
          <w:snapToGrid w:val="0"/>
          <w:color w:val="auto"/>
          <w:kern w:val="0"/>
          <w:szCs w:val="21"/>
          <w:highlight w:val="none"/>
        </w:rPr>
      </w:pPr>
    </w:p>
    <w:p w14:paraId="4CE06721">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代理机构：正信伟业工程咨询管理有限公司</w:t>
      </w:r>
    </w:p>
    <w:p w14:paraId="67F9426B">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地    址：重庆市渝北区恒大山水城4期11栋商铺二楼</w:t>
      </w:r>
    </w:p>
    <w:p w14:paraId="50905383">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联 系 人：李老师</w:t>
      </w:r>
    </w:p>
    <w:p w14:paraId="77E5A348">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电    话：</w:t>
      </w:r>
      <w:bookmarkStart w:id="77" w:name="_Toc287620683"/>
      <w:bookmarkStart w:id="78" w:name="_Toc430530432"/>
      <w:bookmarkStart w:id="79" w:name="_Toc224103315"/>
      <w:bookmarkStart w:id="80" w:name="_Toc287607744"/>
      <w:r>
        <w:rPr>
          <w:rFonts w:hint="eastAsia" w:ascii="宋体" w:hAnsi="宋体"/>
          <w:snapToGrid w:val="0"/>
          <w:color w:val="auto"/>
          <w:kern w:val="0"/>
          <w:szCs w:val="21"/>
          <w:highlight w:val="none"/>
        </w:rPr>
        <w:t>13629767661</w:t>
      </w:r>
    </w:p>
    <w:p w14:paraId="6182E9D6">
      <w:pPr>
        <w:tabs>
          <w:tab w:val="left" w:pos="5140"/>
          <w:tab w:val="left" w:pos="8520"/>
        </w:tabs>
        <w:autoSpaceDE w:val="0"/>
        <w:autoSpaceDN w:val="0"/>
        <w:adjustRightInd w:val="0"/>
        <w:snapToGrid w:val="0"/>
        <w:spacing w:line="360" w:lineRule="auto"/>
        <w:ind w:firstLine="420" w:firstLineChars="200"/>
        <w:jc w:val="left"/>
        <w:rPr>
          <w:rFonts w:hint="eastAsia" w:ascii="宋体" w:hAnsi="宋体"/>
          <w:snapToGrid w:val="0"/>
          <w:color w:val="auto"/>
          <w:kern w:val="0"/>
          <w:szCs w:val="21"/>
          <w:highlight w:val="none"/>
        </w:rPr>
      </w:pPr>
    </w:p>
    <w:bookmarkEnd w:id="11"/>
    <w:bookmarkEnd w:id="12"/>
    <w:bookmarkEnd w:id="13"/>
    <w:p w14:paraId="21699542">
      <w:pPr>
        <w:pStyle w:val="3"/>
        <w:adjustRightInd w:val="0"/>
        <w:snapToGrid w:val="0"/>
        <w:spacing w:before="0" w:after="0" w:line="360" w:lineRule="auto"/>
        <w:jc w:val="center"/>
        <w:rPr>
          <w:rFonts w:ascii="宋体" w:hAnsi="宋体"/>
          <w:bCs w:val="0"/>
          <w:snapToGrid w:val="0"/>
          <w:color w:val="auto"/>
          <w:kern w:val="0"/>
          <w:highlight w:val="none"/>
        </w:rPr>
      </w:pPr>
      <w:r>
        <w:rPr>
          <w:rFonts w:ascii="宋体" w:hAnsi="宋体"/>
          <w:snapToGrid w:val="0"/>
          <w:color w:val="auto"/>
          <w:kern w:val="0"/>
          <w:highlight w:val="none"/>
        </w:rPr>
        <w:br w:type="page"/>
      </w:r>
      <w:bookmarkEnd w:id="77"/>
      <w:bookmarkEnd w:id="78"/>
      <w:bookmarkEnd w:id="79"/>
      <w:bookmarkEnd w:id="80"/>
      <w:bookmarkStart w:id="81" w:name="_Toc177985655"/>
      <w:bookmarkStart w:id="82" w:name="_Toc224103317"/>
      <w:bookmarkStart w:id="83" w:name="_Toc200513126"/>
      <w:bookmarkStart w:id="84" w:name="_Toc430530435"/>
      <w:bookmarkStart w:id="85" w:name="_Toc509218710"/>
      <w:bookmarkStart w:id="86" w:name="_Toc277082552"/>
      <w:bookmarkStart w:id="87" w:name="_Toc287620685"/>
      <w:bookmarkStart w:id="88" w:name="_Toc287607746"/>
      <w:r>
        <w:rPr>
          <w:rFonts w:ascii="宋体" w:hAnsi="宋体"/>
          <w:snapToGrid w:val="0"/>
          <w:color w:val="auto"/>
          <w:kern w:val="0"/>
          <w:highlight w:val="none"/>
        </w:rPr>
        <w:t xml:space="preserve">第二章  </w:t>
      </w:r>
      <w:r>
        <w:rPr>
          <w:rFonts w:hint="eastAsia" w:ascii="宋体" w:hAnsi="宋体"/>
          <w:snapToGrid w:val="0"/>
          <w:color w:val="auto"/>
          <w:kern w:val="0"/>
          <w:highlight w:val="none"/>
          <w:lang w:eastAsia="zh-CN"/>
        </w:rPr>
        <w:t>投标人</w:t>
      </w:r>
      <w:r>
        <w:rPr>
          <w:rFonts w:ascii="宋体" w:hAnsi="宋体"/>
          <w:snapToGrid w:val="0"/>
          <w:color w:val="auto"/>
          <w:kern w:val="0"/>
          <w:highlight w:val="none"/>
        </w:rPr>
        <w:t>须知</w:t>
      </w:r>
      <w:bookmarkEnd w:id="81"/>
      <w:bookmarkStart w:id="89" w:name="_Toc224103316"/>
      <w:bookmarkStart w:id="90" w:name="_Toc287607745"/>
      <w:bookmarkStart w:id="91" w:name="_Toc430530433"/>
      <w:bookmarkStart w:id="92" w:name="_Toc287620684"/>
      <w:bookmarkStart w:id="93" w:name="_Toc277082551"/>
    </w:p>
    <w:p w14:paraId="4A631156">
      <w:pPr>
        <w:pStyle w:val="4"/>
        <w:adjustRightInd w:val="0"/>
        <w:snapToGrid w:val="0"/>
        <w:spacing w:before="0" w:after="0" w:line="360" w:lineRule="auto"/>
        <w:jc w:val="center"/>
        <w:rPr>
          <w:rFonts w:ascii="宋体" w:hAnsi="宋体"/>
          <w:color w:val="auto"/>
          <w:highlight w:val="none"/>
        </w:rPr>
      </w:pPr>
      <w:bookmarkStart w:id="94" w:name="_Toc509218708"/>
      <w:bookmarkStart w:id="95" w:name="_Toc177985656"/>
      <w:r>
        <w:rPr>
          <w:rFonts w:hint="eastAsia" w:ascii="宋体" w:hAnsi="宋体"/>
          <w:snapToGrid w:val="0"/>
          <w:color w:val="auto"/>
          <w:highlight w:val="none"/>
          <w:lang w:eastAsia="zh-CN"/>
        </w:rPr>
        <w:t>投标人</w:t>
      </w:r>
      <w:r>
        <w:rPr>
          <w:rFonts w:hint="eastAsia" w:ascii="宋体" w:hAnsi="宋体"/>
          <w:color w:val="auto"/>
          <w:highlight w:val="none"/>
        </w:rPr>
        <w:t>须知前附表</w:t>
      </w:r>
      <w:bookmarkEnd w:id="89"/>
      <w:bookmarkEnd w:id="90"/>
      <w:bookmarkEnd w:id="91"/>
      <w:bookmarkEnd w:id="92"/>
      <w:bookmarkEnd w:id="93"/>
      <w:bookmarkEnd w:id="94"/>
      <w:bookmarkEnd w:id="95"/>
    </w:p>
    <w:p w14:paraId="6852D7F5">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lang w:eastAsia="zh-CN"/>
        </w:rPr>
        <w:t>投标人</w:t>
      </w:r>
      <w:r>
        <w:rPr>
          <w:rFonts w:ascii="宋体" w:hAnsi="宋体"/>
          <w:color w:val="auto"/>
          <w:szCs w:val="21"/>
          <w:highlight w:val="none"/>
        </w:rPr>
        <w:t>须知前附表与正文不一致的地方，以</w:t>
      </w:r>
      <w:r>
        <w:rPr>
          <w:rFonts w:hint="eastAsia" w:ascii="宋体" w:hAnsi="宋体"/>
          <w:color w:val="auto"/>
          <w:szCs w:val="21"/>
          <w:highlight w:val="none"/>
          <w:lang w:eastAsia="zh-CN"/>
        </w:rPr>
        <w:t>投标人</w:t>
      </w:r>
      <w:r>
        <w:rPr>
          <w:rFonts w:ascii="宋体" w:hAnsi="宋体"/>
          <w:color w:val="auto"/>
          <w:szCs w:val="21"/>
          <w:highlight w:val="none"/>
        </w:rPr>
        <w:t>须知前附表为准。</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92"/>
        <w:gridCol w:w="6548"/>
      </w:tblGrid>
      <w:tr w14:paraId="610DD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noWrap w:val="0"/>
            <w:vAlign w:val="center"/>
          </w:tcPr>
          <w:p w14:paraId="3E7B53B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
                <w:color w:val="auto"/>
                <w:kern w:val="0"/>
                <w:szCs w:val="21"/>
                <w:highlight w:val="none"/>
              </w:rPr>
            </w:pPr>
            <w:r>
              <w:rPr>
                <w:rFonts w:hint="default" w:ascii="宋体" w:hAnsi="宋体" w:cs="Times New Roman"/>
                <w:b/>
                <w:color w:val="auto"/>
                <w:kern w:val="0"/>
                <w:szCs w:val="21"/>
                <w:highlight w:val="none"/>
              </w:rPr>
              <w:t>条 款 号</w:t>
            </w:r>
          </w:p>
        </w:tc>
        <w:tc>
          <w:tcPr>
            <w:tcW w:w="1792" w:type="dxa"/>
            <w:noWrap w:val="0"/>
            <w:vAlign w:val="center"/>
          </w:tcPr>
          <w:p w14:paraId="368B78D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
                <w:color w:val="auto"/>
                <w:kern w:val="0"/>
                <w:szCs w:val="21"/>
                <w:highlight w:val="none"/>
              </w:rPr>
            </w:pPr>
            <w:r>
              <w:rPr>
                <w:rFonts w:hint="default" w:ascii="宋体" w:hAnsi="宋体" w:cs="Times New Roman"/>
                <w:b/>
                <w:color w:val="auto"/>
                <w:kern w:val="0"/>
                <w:szCs w:val="21"/>
                <w:highlight w:val="none"/>
              </w:rPr>
              <w:t>条款名称</w:t>
            </w:r>
          </w:p>
        </w:tc>
        <w:tc>
          <w:tcPr>
            <w:tcW w:w="6548" w:type="dxa"/>
            <w:noWrap w:val="0"/>
            <w:vAlign w:val="center"/>
          </w:tcPr>
          <w:p w14:paraId="710174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b/>
                <w:color w:val="auto"/>
                <w:kern w:val="0"/>
                <w:szCs w:val="21"/>
                <w:highlight w:val="none"/>
              </w:rPr>
            </w:pPr>
            <w:r>
              <w:rPr>
                <w:rFonts w:hint="default" w:ascii="宋体" w:hAnsi="宋体" w:cs="Times New Roman"/>
                <w:b/>
                <w:color w:val="auto"/>
                <w:kern w:val="0"/>
                <w:szCs w:val="21"/>
                <w:highlight w:val="none"/>
              </w:rPr>
              <w:t>编  列  内  容</w:t>
            </w:r>
          </w:p>
        </w:tc>
      </w:tr>
      <w:tr w14:paraId="66DC7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105CA9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1.1.2</w:t>
            </w:r>
          </w:p>
        </w:tc>
        <w:tc>
          <w:tcPr>
            <w:tcW w:w="1792" w:type="dxa"/>
            <w:noWrap w:val="0"/>
            <w:vAlign w:val="center"/>
          </w:tcPr>
          <w:p w14:paraId="4E62ABF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color w:val="auto"/>
                <w:kern w:val="0"/>
                <w:szCs w:val="21"/>
                <w:highlight w:val="none"/>
                <w:lang w:eastAsia="zh-CN"/>
              </w:rPr>
              <w:t>招标人</w:t>
            </w:r>
          </w:p>
        </w:tc>
        <w:tc>
          <w:tcPr>
            <w:tcW w:w="6548" w:type="dxa"/>
            <w:noWrap w:val="0"/>
            <w:vAlign w:val="center"/>
          </w:tcPr>
          <w:p w14:paraId="70C51023">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名称：</w:t>
            </w:r>
            <w:r>
              <w:rPr>
                <w:rFonts w:hint="eastAsia" w:ascii="宋体" w:hAnsi="宋体" w:cs="Times New Roman"/>
                <w:snapToGrid w:val="0"/>
                <w:color w:val="auto"/>
                <w:kern w:val="0"/>
                <w:szCs w:val="21"/>
                <w:highlight w:val="none"/>
              </w:rPr>
              <w:t>重庆东城公共交通有限公司二分公司</w:t>
            </w:r>
          </w:p>
          <w:p w14:paraId="60AD1B25">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地址：</w:t>
            </w:r>
            <w:r>
              <w:rPr>
                <w:rFonts w:hint="eastAsia" w:ascii="宋体" w:hAnsi="宋体" w:cs="Times New Roman"/>
                <w:snapToGrid w:val="0"/>
                <w:color w:val="auto"/>
                <w:kern w:val="0"/>
                <w:szCs w:val="21"/>
                <w:highlight w:val="none"/>
              </w:rPr>
              <w:t>重庆市渝北区龙兴镇普福大道458号</w:t>
            </w:r>
          </w:p>
          <w:p w14:paraId="6C0A721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联系人：</w:t>
            </w:r>
            <w:r>
              <w:rPr>
                <w:rFonts w:hint="eastAsia" w:ascii="宋体" w:hAnsi="宋体" w:eastAsia="宋体" w:cs="Times New Roman"/>
                <w:snapToGrid w:val="0"/>
                <w:color w:val="auto"/>
                <w:kern w:val="0"/>
                <w:szCs w:val="21"/>
                <w:highlight w:val="none"/>
                <w:lang w:val="en-US" w:eastAsia="zh-CN"/>
              </w:rPr>
              <w:t>叶先生</w:t>
            </w:r>
          </w:p>
          <w:p w14:paraId="7923F776">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eastAsia="宋体" w:cs="Times New Roman"/>
                <w:snapToGrid w:val="0"/>
                <w:color w:val="auto"/>
                <w:kern w:val="0"/>
                <w:szCs w:val="21"/>
                <w:highlight w:val="none"/>
              </w:rPr>
              <w:t>电话：</w:t>
            </w:r>
            <w:r>
              <w:rPr>
                <w:rFonts w:hint="eastAsia" w:ascii="宋体" w:hAnsi="宋体" w:eastAsia="宋体" w:cs="Times New Roman"/>
                <w:snapToGrid w:val="0"/>
                <w:color w:val="auto"/>
                <w:kern w:val="0"/>
                <w:szCs w:val="21"/>
                <w:highlight w:val="none"/>
                <w:lang w:val="en-US" w:eastAsia="zh-CN"/>
              </w:rPr>
              <w:t>13983211958</w:t>
            </w:r>
          </w:p>
        </w:tc>
      </w:tr>
      <w:tr w14:paraId="7D602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946195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1.1.3</w:t>
            </w:r>
          </w:p>
        </w:tc>
        <w:tc>
          <w:tcPr>
            <w:tcW w:w="1792" w:type="dxa"/>
            <w:noWrap w:val="0"/>
            <w:vAlign w:val="center"/>
          </w:tcPr>
          <w:p w14:paraId="521950E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代理机构</w:t>
            </w:r>
          </w:p>
        </w:tc>
        <w:tc>
          <w:tcPr>
            <w:tcW w:w="6548" w:type="dxa"/>
            <w:noWrap w:val="0"/>
            <w:vAlign w:val="center"/>
          </w:tcPr>
          <w:p w14:paraId="5154875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名称</w:t>
            </w:r>
            <w:r>
              <w:rPr>
                <w:rFonts w:hint="default" w:ascii="宋体" w:hAnsi="宋体" w:cs="Times New Roman"/>
                <w:color w:val="auto"/>
                <w:kern w:val="0"/>
                <w:szCs w:val="21"/>
                <w:highlight w:val="none"/>
              </w:rPr>
              <w:t>：正信伟业工程咨询管理有限公司</w:t>
            </w:r>
          </w:p>
          <w:p w14:paraId="15EBC7E1">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地址：</w:t>
            </w:r>
            <w:r>
              <w:rPr>
                <w:rFonts w:hint="default" w:ascii="宋体" w:hAnsi="宋体" w:cs="Times New Roman"/>
                <w:color w:val="auto"/>
                <w:kern w:val="0"/>
                <w:szCs w:val="21"/>
                <w:highlight w:val="none"/>
              </w:rPr>
              <w:t>重庆市渝北区恒大山水城4期11栋商铺二楼</w:t>
            </w:r>
          </w:p>
          <w:p w14:paraId="4D301E6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eastAsia="宋体" w:cs="Times New Roman"/>
                <w:snapToGrid w:val="0"/>
                <w:color w:val="auto"/>
                <w:kern w:val="0"/>
                <w:szCs w:val="21"/>
                <w:highlight w:val="none"/>
              </w:rPr>
              <w:t>联系人：</w:t>
            </w:r>
            <w:r>
              <w:rPr>
                <w:rFonts w:hint="default" w:ascii="宋体" w:hAnsi="宋体" w:cs="Times New Roman"/>
                <w:color w:val="auto"/>
                <w:kern w:val="0"/>
                <w:szCs w:val="21"/>
                <w:highlight w:val="none"/>
              </w:rPr>
              <w:t>李老师</w:t>
            </w:r>
          </w:p>
          <w:p w14:paraId="1A411332">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eastAsia="宋体" w:cs="Times New Roman"/>
                <w:snapToGrid w:val="0"/>
                <w:color w:val="auto"/>
                <w:kern w:val="0"/>
                <w:szCs w:val="21"/>
                <w:highlight w:val="none"/>
              </w:rPr>
              <w:t>电话：</w:t>
            </w:r>
            <w:r>
              <w:rPr>
                <w:rFonts w:hint="default" w:ascii="宋体" w:hAnsi="宋体" w:cs="Times New Roman"/>
                <w:color w:val="auto"/>
                <w:kern w:val="0"/>
                <w:szCs w:val="21"/>
                <w:highlight w:val="none"/>
              </w:rPr>
              <w:t>13629767661</w:t>
            </w:r>
          </w:p>
          <w:p w14:paraId="5CF4060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邮箱：1511707950@qq.com</w:t>
            </w:r>
          </w:p>
        </w:tc>
      </w:tr>
      <w:tr w14:paraId="24ADF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739CD5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1.1.4</w:t>
            </w:r>
          </w:p>
        </w:tc>
        <w:tc>
          <w:tcPr>
            <w:tcW w:w="1792" w:type="dxa"/>
            <w:noWrap w:val="0"/>
            <w:vAlign w:val="center"/>
          </w:tcPr>
          <w:p w14:paraId="004EF9F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项目名称</w:t>
            </w:r>
          </w:p>
        </w:tc>
        <w:tc>
          <w:tcPr>
            <w:tcW w:w="6548" w:type="dxa"/>
            <w:noWrap w:val="0"/>
            <w:vAlign w:val="center"/>
          </w:tcPr>
          <w:p w14:paraId="1A4819CF">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Times New Roman"/>
                <w:color w:val="auto"/>
                <w:szCs w:val="21"/>
                <w:highlight w:val="none"/>
                <w:lang w:eastAsia="zh-CN"/>
              </w:rPr>
            </w:pPr>
            <w:r>
              <w:rPr>
                <w:rFonts w:hint="eastAsia" w:ascii="宋体" w:hAnsi="宋体" w:cs="Times New Roman"/>
                <w:color w:val="auto"/>
                <w:szCs w:val="21"/>
                <w:highlight w:val="none"/>
                <w:lang w:eastAsia="zh-CN"/>
              </w:rPr>
              <w:t>东城公共交通有限公司二分公司营运车辆轮胎集中采购项目</w:t>
            </w:r>
          </w:p>
        </w:tc>
      </w:tr>
      <w:tr w14:paraId="18E96F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46346D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1.1.5</w:t>
            </w:r>
          </w:p>
        </w:tc>
        <w:tc>
          <w:tcPr>
            <w:tcW w:w="1792" w:type="dxa"/>
            <w:noWrap w:val="0"/>
            <w:vAlign w:val="center"/>
          </w:tcPr>
          <w:p w14:paraId="125ACC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交货</w:t>
            </w:r>
            <w:r>
              <w:rPr>
                <w:rFonts w:hint="default" w:ascii="宋体" w:hAnsi="宋体" w:cs="Times New Roman"/>
                <w:color w:val="auto"/>
                <w:kern w:val="0"/>
                <w:szCs w:val="21"/>
                <w:highlight w:val="none"/>
              </w:rPr>
              <w:t>地点</w:t>
            </w:r>
          </w:p>
        </w:tc>
        <w:tc>
          <w:tcPr>
            <w:tcW w:w="6548" w:type="dxa"/>
            <w:noWrap w:val="0"/>
            <w:vAlign w:val="center"/>
          </w:tcPr>
          <w:p w14:paraId="09FF9E55">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szCs w:val="21"/>
                <w:highlight w:val="none"/>
              </w:rPr>
            </w:pPr>
            <w:r>
              <w:rPr>
                <w:rFonts w:hint="eastAsia" w:ascii="宋体" w:hAnsi="宋体" w:cs="Times New Roman"/>
                <w:color w:val="auto"/>
                <w:highlight w:val="none"/>
                <w:lang w:eastAsia="zh-CN"/>
              </w:rPr>
              <w:t>招标人</w:t>
            </w:r>
            <w:r>
              <w:rPr>
                <w:rFonts w:hint="eastAsia" w:ascii="宋体" w:hAnsi="宋体" w:cs="Times New Roman"/>
                <w:color w:val="auto"/>
                <w:highlight w:val="none"/>
              </w:rPr>
              <w:t>指定地点</w:t>
            </w:r>
          </w:p>
        </w:tc>
      </w:tr>
      <w:tr w14:paraId="3B477A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C6649E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1.1.6</w:t>
            </w:r>
          </w:p>
        </w:tc>
        <w:tc>
          <w:tcPr>
            <w:tcW w:w="1792" w:type="dxa"/>
            <w:noWrap w:val="0"/>
            <w:vAlign w:val="center"/>
          </w:tcPr>
          <w:p w14:paraId="3B5C6B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项目概况</w:t>
            </w:r>
          </w:p>
        </w:tc>
        <w:tc>
          <w:tcPr>
            <w:tcW w:w="6548" w:type="dxa"/>
            <w:noWrap w:val="0"/>
            <w:vAlign w:val="center"/>
          </w:tcPr>
          <w:p w14:paraId="7D9D0CEF">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eastAsia" w:ascii="宋体" w:hAnsi="宋体" w:cs="Times New Roman"/>
                <w:color w:val="auto"/>
                <w:highlight w:val="none"/>
              </w:rPr>
              <w:t>同第一章项目概况</w:t>
            </w:r>
          </w:p>
        </w:tc>
      </w:tr>
      <w:tr w14:paraId="02007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D58AD7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1.2.1</w:t>
            </w:r>
          </w:p>
        </w:tc>
        <w:tc>
          <w:tcPr>
            <w:tcW w:w="1792" w:type="dxa"/>
            <w:noWrap w:val="0"/>
            <w:vAlign w:val="center"/>
          </w:tcPr>
          <w:p w14:paraId="3679289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资金来源</w:t>
            </w:r>
            <w:r>
              <w:rPr>
                <w:rFonts w:hint="eastAsia" w:ascii="宋体" w:hAnsi="宋体" w:cs="Times New Roman"/>
                <w:color w:val="auto"/>
                <w:kern w:val="0"/>
                <w:szCs w:val="21"/>
                <w:highlight w:val="none"/>
              </w:rPr>
              <w:t>及比例</w:t>
            </w:r>
          </w:p>
        </w:tc>
        <w:tc>
          <w:tcPr>
            <w:tcW w:w="6548" w:type="dxa"/>
            <w:noWrap w:val="0"/>
            <w:vAlign w:val="center"/>
          </w:tcPr>
          <w:p w14:paraId="7E60A4A8">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100%国有资金</w:t>
            </w:r>
          </w:p>
        </w:tc>
      </w:tr>
      <w:tr w14:paraId="2921F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45791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1.2.2</w:t>
            </w:r>
          </w:p>
        </w:tc>
        <w:tc>
          <w:tcPr>
            <w:tcW w:w="1792" w:type="dxa"/>
            <w:noWrap w:val="0"/>
            <w:vAlign w:val="center"/>
          </w:tcPr>
          <w:p w14:paraId="1452BBC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资金落实情况</w:t>
            </w:r>
          </w:p>
        </w:tc>
        <w:tc>
          <w:tcPr>
            <w:tcW w:w="6548" w:type="dxa"/>
            <w:noWrap w:val="0"/>
            <w:vAlign w:val="center"/>
          </w:tcPr>
          <w:p w14:paraId="445958C9">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szCs w:val="21"/>
                <w:highlight w:val="none"/>
              </w:rPr>
            </w:pPr>
            <w:r>
              <w:rPr>
                <w:rFonts w:hint="eastAsia" w:ascii="宋体" w:hAnsi="宋体" w:cs="Times New Roman"/>
                <w:color w:val="auto"/>
                <w:szCs w:val="21"/>
                <w:highlight w:val="none"/>
              </w:rPr>
              <w:t>已落实</w:t>
            </w:r>
          </w:p>
        </w:tc>
      </w:tr>
      <w:tr w14:paraId="22780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52B5AB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1.3.1</w:t>
            </w:r>
          </w:p>
        </w:tc>
        <w:tc>
          <w:tcPr>
            <w:tcW w:w="1792" w:type="dxa"/>
            <w:noWrap w:val="0"/>
            <w:vAlign w:val="center"/>
          </w:tcPr>
          <w:p w14:paraId="3F20150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范围</w:t>
            </w:r>
          </w:p>
        </w:tc>
        <w:tc>
          <w:tcPr>
            <w:tcW w:w="6548" w:type="dxa"/>
            <w:noWrap w:val="0"/>
            <w:vAlign w:val="center"/>
          </w:tcPr>
          <w:p w14:paraId="6D324B08">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i/>
                <w:color w:val="auto"/>
                <w:szCs w:val="21"/>
                <w:highlight w:val="none"/>
              </w:rPr>
            </w:pPr>
            <w:r>
              <w:rPr>
                <w:rFonts w:hint="eastAsia" w:ascii="宋体" w:hAnsi="宋体" w:cs="Times New Roman"/>
                <w:color w:val="auto"/>
                <w:highlight w:val="none"/>
              </w:rPr>
              <w:t>同第一章</w:t>
            </w:r>
            <w:r>
              <w:rPr>
                <w:rFonts w:hint="eastAsia" w:ascii="宋体" w:hAnsi="宋体" w:cs="Times New Roman"/>
                <w:color w:val="auto"/>
                <w:highlight w:val="none"/>
                <w:lang w:eastAsia="zh-CN"/>
              </w:rPr>
              <w:t>招标</w:t>
            </w:r>
            <w:r>
              <w:rPr>
                <w:rFonts w:hint="eastAsia" w:ascii="宋体" w:hAnsi="宋体" w:cs="Times New Roman"/>
                <w:color w:val="auto"/>
                <w:highlight w:val="none"/>
              </w:rPr>
              <w:t>范围</w:t>
            </w:r>
          </w:p>
        </w:tc>
      </w:tr>
      <w:tr w14:paraId="0E2F2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4B7750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1.3.2</w:t>
            </w:r>
          </w:p>
        </w:tc>
        <w:tc>
          <w:tcPr>
            <w:tcW w:w="1792" w:type="dxa"/>
            <w:noWrap w:val="0"/>
            <w:vAlign w:val="center"/>
          </w:tcPr>
          <w:p w14:paraId="31FA1F1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服务</w:t>
            </w:r>
            <w:r>
              <w:rPr>
                <w:rFonts w:hint="eastAsia" w:ascii="宋体" w:hAnsi="宋体" w:cs="Times New Roman"/>
                <w:color w:val="auto"/>
                <w:kern w:val="0"/>
                <w:szCs w:val="21"/>
                <w:highlight w:val="none"/>
              </w:rPr>
              <w:t>期限</w:t>
            </w:r>
          </w:p>
        </w:tc>
        <w:tc>
          <w:tcPr>
            <w:tcW w:w="6548" w:type="dxa"/>
            <w:noWrap w:val="0"/>
            <w:vAlign w:val="center"/>
          </w:tcPr>
          <w:p w14:paraId="18431C5D">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lang w:val="en-US" w:eastAsia="zh-CN"/>
              </w:rPr>
              <w:t>24个月</w:t>
            </w:r>
            <w:r>
              <w:rPr>
                <w:rFonts w:hint="eastAsia" w:ascii="宋体" w:hAnsi="宋体" w:cs="Times New Roman"/>
                <w:snapToGrid w:val="0"/>
                <w:color w:val="auto"/>
                <w:kern w:val="0"/>
                <w:szCs w:val="21"/>
                <w:highlight w:val="none"/>
              </w:rPr>
              <w:t>。</w:t>
            </w:r>
          </w:p>
        </w:tc>
      </w:tr>
      <w:tr w14:paraId="7BC81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6E179D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1.3.3</w:t>
            </w:r>
          </w:p>
        </w:tc>
        <w:tc>
          <w:tcPr>
            <w:tcW w:w="1792" w:type="dxa"/>
            <w:noWrap w:val="0"/>
            <w:vAlign w:val="center"/>
          </w:tcPr>
          <w:p w14:paraId="4B3C8A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质量</w:t>
            </w:r>
            <w:r>
              <w:rPr>
                <w:rFonts w:hint="eastAsia" w:ascii="宋体" w:hAnsi="宋体" w:cs="Times New Roman"/>
                <w:color w:val="auto"/>
                <w:kern w:val="0"/>
                <w:szCs w:val="21"/>
                <w:highlight w:val="none"/>
              </w:rPr>
              <w:t>标准</w:t>
            </w:r>
          </w:p>
        </w:tc>
        <w:tc>
          <w:tcPr>
            <w:tcW w:w="6548" w:type="dxa"/>
            <w:noWrap w:val="0"/>
            <w:vAlign w:val="center"/>
          </w:tcPr>
          <w:p w14:paraId="250C0C41">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1.提供的产品必须是全新的（生产日期与交货验收合格日期之间不超过6个月）、包装完整未使用过的；产品必须符合国家《产品质量法》的要求及规定，符合国家、行业及企业相关标准。</w:t>
            </w:r>
          </w:p>
          <w:p w14:paraId="01552EEC">
            <w:pPr>
              <w:keepNext w:val="0"/>
              <w:keepLines w:val="0"/>
              <w:suppressLineNumbers w:val="0"/>
              <w:tabs>
                <w:tab w:val="left" w:pos="3840"/>
                <w:tab w:val="left" w:pos="5300"/>
              </w:tabs>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2.中标人在项目实施过程中要做到节能、环保，中标人承担项目范围内的质量、安全、环保责任，因中标人原因引起的质量、安全、环保等事故由中标人承担相应的法律后果。</w:t>
            </w:r>
          </w:p>
        </w:tc>
      </w:tr>
      <w:tr w14:paraId="5E8EB4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663F4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w:t>
            </w:r>
            <w:r>
              <w:rPr>
                <w:rFonts w:hint="default" w:ascii="宋体" w:hAnsi="宋体" w:cs="Times New Roman"/>
                <w:color w:val="auto"/>
                <w:kern w:val="0"/>
                <w:szCs w:val="21"/>
                <w:highlight w:val="none"/>
              </w:rPr>
              <w:t>.4.1</w:t>
            </w:r>
          </w:p>
        </w:tc>
        <w:tc>
          <w:tcPr>
            <w:tcW w:w="1792" w:type="dxa"/>
            <w:noWrap w:val="0"/>
            <w:vAlign w:val="center"/>
          </w:tcPr>
          <w:p w14:paraId="3CB77A7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资质条件、能力和信誉</w:t>
            </w:r>
          </w:p>
        </w:tc>
        <w:tc>
          <w:tcPr>
            <w:tcW w:w="6548" w:type="dxa"/>
            <w:noWrap w:val="0"/>
            <w:vAlign w:val="center"/>
          </w:tcPr>
          <w:p w14:paraId="72A7247C">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bookmarkStart w:id="96" w:name="OLE_LINK1"/>
            <w:r>
              <w:rPr>
                <w:rFonts w:hint="default" w:ascii="宋体" w:hAnsi="宋体" w:cs="Times New Roman"/>
                <w:color w:val="auto"/>
                <w:szCs w:val="21"/>
                <w:highlight w:val="none"/>
              </w:rPr>
              <w:t>本</w:t>
            </w:r>
            <w:r>
              <w:rPr>
                <w:rFonts w:hint="eastAsia" w:ascii="宋体" w:hAnsi="宋体" w:cs="Times New Roman"/>
                <w:color w:val="auto"/>
                <w:szCs w:val="21"/>
                <w:highlight w:val="none"/>
              </w:rPr>
              <w:t>项目</w:t>
            </w:r>
            <w:r>
              <w:rPr>
                <w:rFonts w:hint="eastAsia" w:ascii="宋体" w:hAnsi="宋体" w:cs="Times New Roman"/>
                <w:color w:val="auto"/>
                <w:szCs w:val="21"/>
                <w:highlight w:val="none"/>
                <w:lang w:eastAsia="zh-CN"/>
              </w:rPr>
              <w:t>招标</w:t>
            </w:r>
            <w:r>
              <w:rPr>
                <w:rFonts w:hint="default" w:ascii="宋体" w:hAnsi="宋体" w:cs="Times New Roman"/>
                <w:color w:val="auto"/>
                <w:szCs w:val="21"/>
                <w:highlight w:val="none"/>
              </w:rPr>
              <w:t>实行资格后审，</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应</w:t>
            </w:r>
            <w:bookmarkStart w:id="97" w:name="一是"/>
            <w:bookmarkEnd w:id="97"/>
            <w:r>
              <w:rPr>
                <w:rFonts w:hint="default" w:ascii="宋体" w:hAnsi="宋体" w:cs="Times New Roman"/>
                <w:color w:val="auto"/>
                <w:szCs w:val="21"/>
                <w:highlight w:val="none"/>
              </w:rPr>
              <w:t>具备以下资格条件：</w:t>
            </w:r>
          </w:p>
          <w:bookmarkEnd w:id="96"/>
          <w:p w14:paraId="60B16196">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w:t>
            </w:r>
            <w:r>
              <w:rPr>
                <w:rFonts w:hint="eastAsia" w:ascii="Times New Roman" w:hAnsi="Times New Roman" w:cs="Times New Roman"/>
                <w:color w:val="auto"/>
                <w:highlight w:val="none"/>
              </w:rPr>
              <w:t xml:space="preserve"> </w:t>
            </w:r>
            <w:r>
              <w:rPr>
                <w:rFonts w:hint="eastAsia" w:cs="Times New Roman"/>
                <w:color w:val="auto"/>
                <w:highlight w:val="none"/>
                <w:lang w:eastAsia="zh-CN"/>
              </w:rPr>
              <w:t>投标人</w:t>
            </w:r>
            <w:r>
              <w:rPr>
                <w:rFonts w:hint="eastAsia" w:ascii="Times New Roman" w:hAnsi="Times New Roman" w:cs="Times New Roman"/>
                <w:color w:val="auto"/>
                <w:highlight w:val="none"/>
              </w:rPr>
              <w:t>必须是在中华人民共和国境内注册的独立法人</w:t>
            </w:r>
            <w:r>
              <w:rPr>
                <w:rFonts w:hint="eastAsia" w:cs="Times New Roman"/>
                <w:color w:val="auto"/>
                <w:highlight w:val="none"/>
                <w:lang w:eastAsia="zh-CN"/>
              </w:rPr>
              <w:t>，且</w:t>
            </w:r>
            <w:r>
              <w:rPr>
                <w:rFonts w:hint="eastAsia" w:cs="Times New Roman"/>
                <w:color w:val="auto"/>
                <w:highlight w:val="none"/>
                <w:lang w:val="en-US" w:eastAsia="zh-CN"/>
              </w:rPr>
              <w:t>经营范围须包含所投产品的生产或销售</w:t>
            </w:r>
            <w:r>
              <w:rPr>
                <w:rFonts w:hint="eastAsia" w:ascii="Times New Roman" w:hAnsi="Times New Roman" w:cs="Times New Roman"/>
                <w:color w:val="auto"/>
                <w:highlight w:val="none"/>
              </w:rPr>
              <w:t>。</w:t>
            </w:r>
          </w:p>
          <w:p w14:paraId="1E7365F9">
            <w:pPr>
              <w:keepNext w:val="0"/>
              <w:keepLines w:val="0"/>
              <w:suppressLineNumbers w:val="0"/>
              <w:autoSpaceDE w:val="0"/>
              <w:autoSpaceDN w:val="0"/>
              <w:adjustRightInd w:val="0"/>
              <w:snapToGrid w:val="0"/>
              <w:spacing w:before="0" w:beforeAutospacing="0" w:after="0" w:afterAutospacing="0" w:line="360" w:lineRule="auto"/>
              <w:ind w:left="0" w:right="0" w:firstLine="422" w:firstLineChars="200"/>
              <w:rPr>
                <w:rFonts w:hint="default" w:ascii="宋体" w:hAnsi="宋体" w:cs="Times New Roman"/>
                <w:b/>
                <w:color w:val="auto"/>
                <w:highlight w:val="none"/>
              </w:rPr>
            </w:pPr>
            <w:r>
              <w:rPr>
                <w:rFonts w:hint="eastAsia" w:ascii="宋体" w:hAnsi="宋体" w:cs="Times New Roman"/>
                <w:b/>
                <w:color w:val="auto"/>
                <w:kern w:val="0"/>
                <w:szCs w:val="21"/>
                <w:highlight w:val="none"/>
                <w:lang w:eastAsia="zh-CN"/>
              </w:rPr>
              <w:t>注：</w:t>
            </w:r>
            <w:r>
              <w:rPr>
                <w:rFonts w:hint="default" w:ascii="宋体" w:hAnsi="宋体" w:cs="Times New Roman"/>
                <w:b/>
                <w:color w:val="auto"/>
                <w:szCs w:val="21"/>
                <w:highlight w:val="none"/>
              </w:rPr>
              <w:t>提供有效的营业执照复印件</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default" w:ascii="宋体" w:hAnsi="宋体" w:cs="Times New Roman"/>
                <w:b/>
                <w:color w:val="auto"/>
                <w:szCs w:val="21"/>
                <w:highlight w:val="none"/>
              </w:rPr>
              <w:t>。</w:t>
            </w:r>
          </w:p>
          <w:p w14:paraId="36F7E48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kern w:val="0"/>
                <w:szCs w:val="21"/>
                <w:highlight w:val="none"/>
              </w:rPr>
              <w:t>2.</w:t>
            </w:r>
            <w:r>
              <w:rPr>
                <w:rFonts w:hint="eastAsia" w:ascii="Times New Roman" w:hAnsi="Times New Roman" w:cs="Times New Roman"/>
                <w:color w:val="auto"/>
                <w:highlight w:val="none"/>
              </w:rPr>
              <w:t xml:space="preserve"> </w:t>
            </w:r>
            <w:r>
              <w:rPr>
                <w:rFonts w:hint="eastAsia" w:ascii="宋体" w:hAnsi="宋体" w:cs="Times New Roman"/>
                <w:color w:val="auto"/>
                <w:highlight w:val="none"/>
                <w:lang w:eastAsia="zh-CN"/>
              </w:rPr>
              <w:t>投标人</w:t>
            </w:r>
            <w:r>
              <w:rPr>
                <w:rFonts w:hint="eastAsia" w:ascii="宋体" w:hAnsi="宋体" w:cs="Times New Roman"/>
                <w:color w:val="auto"/>
                <w:highlight w:val="none"/>
              </w:rPr>
              <w:t>自行承诺不得存在下列情形之一：</w:t>
            </w:r>
          </w:p>
          <w:p w14:paraId="4F55099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highlight w:val="none"/>
              </w:rPr>
              <w:t>（1）被人民法院列入失信被执行人名单且在被执行期内；</w:t>
            </w:r>
          </w:p>
          <w:p w14:paraId="705E9AF0">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highlight w:val="none"/>
              </w:rPr>
              <w:t>（2）被国家、重庆市（含市或任意区县）有关行政主管部门处以暂停投标资格行政处罚，且在处罚期限内；</w:t>
            </w:r>
          </w:p>
          <w:p w14:paraId="3D3A343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highlight w:val="none"/>
              </w:rPr>
            </w:pPr>
            <w:r>
              <w:rPr>
                <w:rFonts w:hint="eastAsia" w:ascii="宋体" w:hAnsi="宋体" w:cs="Times New Roman"/>
                <w:color w:val="auto"/>
                <w:highlight w:val="none"/>
              </w:rPr>
              <w:t>（3）被国家、重庆市（含市或任意区县）有关行业主管部门暂停承揽新业务且在暂停期内。</w:t>
            </w:r>
          </w:p>
          <w:p w14:paraId="6A2D5B5B">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cs="Times New Roman"/>
                <w:b/>
                <w:color w:val="auto"/>
                <w:kern w:val="0"/>
                <w:szCs w:val="21"/>
                <w:highlight w:val="none"/>
              </w:rPr>
            </w:pPr>
            <w:r>
              <w:rPr>
                <w:rFonts w:hint="eastAsia" w:ascii="宋体" w:hAnsi="宋体" w:cs="Times New Roman"/>
                <w:b/>
                <w:color w:val="auto"/>
                <w:kern w:val="0"/>
                <w:szCs w:val="21"/>
                <w:highlight w:val="none"/>
                <w:lang w:eastAsia="zh-CN"/>
              </w:rPr>
              <w:t>注：</w:t>
            </w:r>
            <w:r>
              <w:rPr>
                <w:rFonts w:hint="eastAsia" w:ascii="宋体" w:hAnsi="宋体" w:cs="Times New Roman"/>
                <w:b/>
                <w:color w:val="auto"/>
                <w:kern w:val="0"/>
                <w:szCs w:val="21"/>
                <w:highlight w:val="none"/>
              </w:rPr>
              <w:t>提供承诺</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eastAsia" w:ascii="宋体" w:hAnsi="宋体" w:cs="Times New Roman"/>
                <w:b/>
                <w:color w:val="auto"/>
                <w:kern w:val="0"/>
                <w:szCs w:val="21"/>
                <w:highlight w:val="none"/>
              </w:rPr>
              <w:t>。</w:t>
            </w:r>
          </w:p>
          <w:p w14:paraId="50347E68">
            <w:pPr>
              <w:pStyle w:val="2"/>
              <w:keepNext w:val="0"/>
              <w:keepLines w:val="0"/>
              <w:suppressLineNumbers w:val="0"/>
              <w:spacing w:before="0" w:beforeAutospacing="0" w:afterAutospacing="0"/>
              <w:ind w:left="0" w:right="0" w:firstLine="420" w:firstLineChars="200"/>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cs="Times New Roman"/>
                <w:color w:val="auto"/>
                <w:kern w:val="2"/>
                <w:sz w:val="21"/>
                <w:szCs w:val="24"/>
                <w:highlight w:val="none"/>
                <w:lang w:val="en-US" w:eastAsia="zh-CN" w:bidi="ar-SA"/>
              </w:rPr>
              <w:t>3.投标人对以下条款进行承诺，格式自拟。</w:t>
            </w:r>
          </w:p>
          <w:p w14:paraId="2F93BD7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lang w:eastAsia="zh-CN"/>
              </w:rPr>
            </w:pPr>
            <w:r>
              <w:rPr>
                <w:rFonts w:hint="default" w:ascii="宋体" w:hAnsi="宋体" w:cs="Times New Roman"/>
                <w:color w:val="auto"/>
                <w:highlight w:val="none"/>
                <w:lang w:eastAsia="zh-CN"/>
              </w:rPr>
              <w:t>（</w:t>
            </w:r>
            <w:r>
              <w:rPr>
                <w:rFonts w:hint="eastAsia" w:ascii="宋体" w:hAnsi="宋体" w:cs="Times New Roman"/>
                <w:color w:val="auto"/>
                <w:highlight w:val="none"/>
                <w:lang w:val="en-US" w:eastAsia="zh-CN"/>
              </w:rPr>
              <w:t>1</w:t>
            </w:r>
            <w:r>
              <w:rPr>
                <w:rFonts w:hint="default" w:ascii="宋体" w:hAnsi="宋体" w:cs="Times New Roman"/>
                <w:color w:val="auto"/>
                <w:highlight w:val="none"/>
                <w:lang w:eastAsia="zh-CN"/>
              </w:rPr>
              <w:t>）投标人具备良好商业信誉与销售实力，具有履行合同所必备的能力，以及健全的售后服务保障体系。</w:t>
            </w:r>
          </w:p>
          <w:p w14:paraId="75A2650F">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lang w:eastAsia="zh-CN"/>
              </w:rPr>
              <w:t>（</w:t>
            </w:r>
            <w:r>
              <w:rPr>
                <w:rFonts w:hint="eastAsia" w:ascii="宋体" w:hAnsi="宋体" w:cs="Times New Roman"/>
                <w:color w:val="auto"/>
                <w:highlight w:val="none"/>
                <w:lang w:val="en-US" w:eastAsia="zh-CN"/>
              </w:rPr>
              <w:t>2</w:t>
            </w:r>
            <w:r>
              <w:rPr>
                <w:rFonts w:hint="default" w:ascii="宋体" w:hAnsi="宋体" w:cs="Times New Roman"/>
                <w:color w:val="auto"/>
                <w:highlight w:val="none"/>
                <w:lang w:eastAsia="zh-CN"/>
              </w:rPr>
              <w:t>）</w:t>
            </w:r>
            <w:r>
              <w:rPr>
                <w:rFonts w:hint="default" w:ascii="宋体" w:hAnsi="宋体" w:cs="Times New Roman"/>
                <w:color w:val="auto"/>
                <w:highlight w:val="none"/>
                <w:lang w:val="en-US" w:eastAsia="zh-CN"/>
              </w:rPr>
              <w:t xml:space="preserve"> </w:t>
            </w:r>
            <w:r>
              <w:rPr>
                <w:rFonts w:hint="eastAsia" w:ascii="宋体" w:hAnsi="宋体" w:cs="Times New Roman"/>
                <w:color w:val="auto"/>
                <w:highlight w:val="none"/>
                <w:lang w:eastAsia="zh-CN"/>
              </w:rPr>
              <w:t>未</w:t>
            </w:r>
            <w:r>
              <w:rPr>
                <w:rFonts w:hint="default" w:ascii="宋体" w:hAnsi="宋体" w:cs="Times New Roman"/>
                <w:color w:val="auto"/>
                <w:highlight w:val="none"/>
                <w:lang w:val="en-US" w:eastAsia="zh-CN"/>
              </w:rPr>
              <w:t>被</w:t>
            </w:r>
            <w:r>
              <w:rPr>
                <w:rFonts w:hint="default" w:ascii="宋体" w:hAnsi="宋体" w:cs="Times New Roman"/>
                <w:color w:val="auto"/>
                <w:highlight w:val="none"/>
              </w:rPr>
              <w:t>列入重大税收违法案件当事人名单、政府采购严重违法失信行为记录名单。</w:t>
            </w:r>
          </w:p>
          <w:p w14:paraId="5FD6F296">
            <w:pPr>
              <w:pStyle w:val="2"/>
              <w:keepNext w:val="0"/>
              <w:keepLines w:val="0"/>
              <w:suppressLineNumbers w:val="0"/>
              <w:spacing w:before="0" w:beforeAutospacing="0" w:afterAutospacing="0"/>
              <w:ind w:left="0" w:right="0" w:firstLine="632" w:firstLineChars="300"/>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注：提供承诺加盖投标单位公章。</w:t>
            </w:r>
          </w:p>
          <w:p w14:paraId="1CC8D6A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bCs/>
                <w:color w:val="auto"/>
                <w:kern w:val="0"/>
                <w:szCs w:val="21"/>
                <w:highlight w:val="none"/>
                <w:lang w:val="en-US" w:eastAsia="zh-CN"/>
              </w:rPr>
            </w:pPr>
            <w:r>
              <w:rPr>
                <w:rFonts w:hint="eastAsia" w:ascii="宋体" w:hAnsi="宋体" w:cs="Times New Roman"/>
                <w:bCs/>
                <w:color w:val="auto"/>
                <w:kern w:val="0"/>
                <w:szCs w:val="21"/>
                <w:highlight w:val="none"/>
                <w:lang w:val="en-US" w:eastAsia="zh-CN"/>
              </w:rPr>
              <w:t>4</w:t>
            </w:r>
            <w:r>
              <w:rPr>
                <w:rFonts w:hint="eastAsia" w:ascii="宋体" w:hAnsi="宋体" w:cs="Times New Roman"/>
                <w:bCs/>
                <w:color w:val="auto"/>
                <w:kern w:val="0"/>
                <w:szCs w:val="21"/>
                <w:highlight w:val="none"/>
              </w:rPr>
              <w:t xml:space="preserve">. </w:t>
            </w:r>
            <w:r>
              <w:rPr>
                <w:rFonts w:hint="eastAsia" w:ascii="宋体" w:hAnsi="宋体" w:cs="Times New Roman"/>
                <w:bCs/>
                <w:color w:val="auto"/>
                <w:kern w:val="0"/>
                <w:szCs w:val="21"/>
                <w:highlight w:val="none"/>
                <w:lang w:eastAsia="zh-CN"/>
              </w:rPr>
              <w:t>投标</w:t>
            </w:r>
            <w:r>
              <w:rPr>
                <w:rFonts w:hint="eastAsia" w:ascii="宋体" w:hAnsi="宋体" w:cs="Times New Roman"/>
                <w:bCs/>
                <w:color w:val="auto"/>
                <w:kern w:val="0"/>
                <w:szCs w:val="21"/>
                <w:highlight w:val="none"/>
                <w:lang w:val="en-US" w:eastAsia="zh-CN"/>
              </w:rPr>
              <w:t>产品为国家强制性3C认证产品或实行生产许可证的产品的，必须获得相关生产认证资格。</w:t>
            </w:r>
          </w:p>
          <w:p w14:paraId="231D79A7">
            <w:pPr>
              <w:keepNext w:val="0"/>
              <w:keepLines w:val="0"/>
              <w:suppressLineNumbers w:val="0"/>
              <w:adjustRightInd w:val="0"/>
              <w:snapToGrid w:val="0"/>
              <w:spacing w:before="0" w:beforeAutospacing="0" w:after="0" w:afterAutospacing="0" w:line="360" w:lineRule="auto"/>
              <w:ind w:left="0" w:right="0" w:firstLine="422" w:firstLineChars="200"/>
              <w:rPr>
                <w:rFonts w:hint="default" w:ascii="宋体" w:hAnsi="宋体" w:cs="Times New Roman"/>
                <w:b/>
                <w:color w:val="auto"/>
                <w:kern w:val="0"/>
                <w:szCs w:val="21"/>
                <w:highlight w:val="none"/>
              </w:rPr>
            </w:pPr>
            <w:r>
              <w:rPr>
                <w:rFonts w:hint="eastAsia" w:ascii="宋体" w:hAnsi="宋体" w:cs="Times New Roman"/>
                <w:b/>
                <w:color w:val="auto"/>
                <w:kern w:val="0"/>
                <w:szCs w:val="21"/>
                <w:highlight w:val="none"/>
                <w:lang w:eastAsia="zh-CN"/>
              </w:rPr>
              <w:t>注：</w:t>
            </w:r>
            <w:r>
              <w:rPr>
                <w:rFonts w:hint="eastAsia" w:ascii="宋体" w:hAnsi="宋体" w:cs="Times New Roman"/>
                <w:b/>
                <w:color w:val="auto"/>
                <w:kern w:val="0"/>
                <w:szCs w:val="21"/>
                <w:highlight w:val="none"/>
              </w:rPr>
              <w:t>提供</w:t>
            </w:r>
            <w:r>
              <w:rPr>
                <w:rFonts w:hint="eastAsia" w:ascii="宋体" w:hAnsi="宋体" w:cs="Times New Roman"/>
                <w:b/>
                <w:color w:val="auto"/>
                <w:kern w:val="0"/>
                <w:szCs w:val="21"/>
                <w:highlight w:val="none"/>
                <w:lang w:eastAsia="zh-CN"/>
              </w:rPr>
              <w:t>相关证书</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eastAsia" w:ascii="宋体" w:hAnsi="宋体" w:cs="Times New Roman"/>
                <w:b/>
                <w:color w:val="auto"/>
                <w:kern w:val="0"/>
                <w:szCs w:val="21"/>
                <w:highlight w:val="none"/>
              </w:rPr>
              <w:t>。</w:t>
            </w:r>
          </w:p>
          <w:p w14:paraId="62048F0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b w:val="0"/>
                <w:bCs/>
                <w:color w:val="auto"/>
                <w:kern w:val="0"/>
                <w:szCs w:val="21"/>
                <w:highlight w:val="none"/>
                <w:lang w:val="en-US" w:eastAsia="zh-CN"/>
              </w:rPr>
            </w:pPr>
            <w:r>
              <w:rPr>
                <w:rFonts w:hint="eastAsia" w:ascii="宋体" w:hAnsi="宋体" w:cs="Times New Roman"/>
                <w:b w:val="0"/>
                <w:bCs/>
                <w:color w:val="auto"/>
                <w:kern w:val="0"/>
                <w:szCs w:val="21"/>
                <w:highlight w:val="none"/>
                <w:lang w:val="en-US" w:eastAsia="zh-CN"/>
              </w:rPr>
              <w:t>5.授权方式</w:t>
            </w:r>
          </w:p>
          <w:p w14:paraId="23CAF278">
            <w:pPr>
              <w:keepNext w:val="0"/>
              <w:keepLines w:val="0"/>
              <w:numPr>
                <w:ilvl w:val="0"/>
                <w:numId w:val="0"/>
              </w:numPr>
              <w:suppressLineNumbers w:val="0"/>
              <w:spacing w:before="0" w:beforeAutospacing="0" w:after="0" w:afterAutospacing="0" w:line="360" w:lineRule="auto"/>
              <w:ind w:left="0" w:right="0" w:firstLine="420" w:firstLineChars="200"/>
              <w:rPr>
                <w:rFonts w:hint="default"/>
                <w:color w:val="000000" w:themeColor="text1"/>
                <w:lang w:val="en-GB"/>
                <w14:textFill>
                  <w14:solidFill>
                    <w14:schemeClr w14:val="tx1"/>
                  </w14:solidFill>
                </w14:textFill>
              </w:rPr>
            </w:pPr>
            <w:r>
              <w:rPr>
                <w:rFonts w:hint="eastAsia"/>
                <w:color w:val="000000" w:themeColor="text1"/>
                <w:lang w:val="en-GB"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default"/>
                <w:color w:val="000000" w:themeColor="text1"/>
                <w:lang w:val="en-GB"/>
                <w14:textFill>
                  <w14:solidFill>
                    <w14:schemeClr w14:val="tx1"/>
                  </w14:solidFill>
                </w14:textFill>
              </w:rPr>
              <w:t>若投标人为所投产品生产企业，须按招标文件要求的格式提供资格声明原件，且不能再授权其他代理商或经销商参加本招标项目的投标；</w:t>
            </w:r>
          </w:p>
          <w:p w14:paraId="69AA9CCB">
            <w:pPr>
              <w:keepNext w:val="0"/>
              <w:keepLines w:val="0"/>
              <w:numPr>
                <w:ilvl w:val="0"/>
                <w:numId w:val="0"/>
              </w:numPr>
              <w:suppressLineNumbers w:val="0"/>
              <w:spacing w:before="0" w:beforeAutospacing="0" w:after="0" w:afterAutospacing="0" w:line="360" w:lineRule="auto"/>
              <w:ind w:left="0" w:right="0" w:firstLine="420" w:firstLineChars="200"/>
              <w:rPr>
                <w:rFonts w:hint="default"/>
                <w:color w:val="000000" w:themeColor="text1"/>
                <w:lang w:val="en-GB"/>
                <w14:textFill>
                  <w14:solidFill>
                    <w14:schemeClr w14:val="tx1"/>
                  </w14:solidFill>
                </w14:textFill>
              </w:rPr>
            </w:pPr>
            <w:r>
              <w:rPr>
                <w:rFonts w:hint="eastAsia"/>
                <w:color w:val="000000" w:themeColor="text1"/>
                <w:lang w:val="en-GB"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default"/>
                <w:color w:val="000000" w:themeColor="text1"/>
                <w:lang w:val="en-GB"/>
                <w14:textFill>
                  <w14:solidFill>
                    <w14:schemeClr w14:val="tx1"/>
                  </w14:solidFill>
                </w14:textFill>
              </w:rPr>
              <w:t>若投标人为所投产品配套的客车生产企业，须提供所投产品与投标人的配套合同及投标人出具的配套声明，配套合同有效期能覆盖本项目合同有效期（</w:t>
            </w:r>
            <w:r>
              <w:rPr>
                <w:rFonts w:hint="eastAsia"/>
                <w:color w:val="000000" w:themeColor="text1"/>
                <w:lang w:val="en-US" w:eastAsia="zh-CN"/>
                <w14:textFill>
                  <w14:solidFill>
                    <w14:schemeClr w14:val="tx1"/>
                  </w14:solidFill>
                </w14:textFill>
              </w:rPr>
              <w:t>2</w:t>
            </w:r>
            <w:r>
              <w:rPr>
                <w:rFonts w:hint="default"/>
                <w:color w:val="000000" w:themeColor="text1"/>
                <w:lang w:val="en-GB"/>
                <w14:textFill>
                  <w14:solidFill>
                    <w14:schemeClr w14:val="tx1"/>
                  </w14:solidFill>
                </w14:textFill>
              </w:rPr>
              <w:t>年）；</w:t>
            </w:r>
          </w:p>
          <w:p w14:paraId="3CA3B816">
            <w:pPr>
              <w:keepNext w:val="0"/>
              <w:keepLines w:val="0"/>
              <w:numPr>
                <w:ilvl w:val="0"/>
                <w:numId w:val="0"/>
              </w:numPr>
              <w:suppressLineNumbers w:val="0"/>
              <w:spacing w:before="0" w:beforeAutospacing="0" w:after="0" w:afterAutospacing="0" w:line="360" w:lineRule="auto"/>
              <w:ind w:left="0" w:right="0" w:firstLine="420" w:firstLineChars="200"/>
              <w:rPr>
                <w:rFonts w:hint="default"/>
                <w:color w:val="000000" w:themeColor="text1"/>
                <w:lang w:val="en-GB"/>
                <w14:textFill>
                  <w14:solidFill>
                    <w14:schemeClr w14:val="tx1"/>
                  </w14:solidFill>
                </w14:textFill>
              </w:rPr>
            </w:pPr>
            <w:r>
              <w:rPr>
                <w:rFonts w:hint="eastAsia"/>
                <w:color w:val="000000" w:themeColor="text1"/>
                <w:lang w:val="en-GB"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default"/>
                <w:color w:val="000000" w:themeColor="text1"/>
                <w:lang w:val="en-GB"/>
                <w14:textFill>
                  <w14:solidFill>
                    <w14:schemeClr w14:val="tx1"/>
                  </w14:solidFill>
                </w14:textFill>
              </w:rPr>
              <w:t>若投标人为所投产品代理商或经销商，须提供所投产品经销</w:t>
            </w:r>
            <w:r>
              <w:rPr>
                <w:rFonts w:hint="eastAsia"/>
                <w:color w:val="000000" w:themeColor="text1"/>
                <w:lang w:val="en-GB"/>
                <w14:textFill>
                  <w14:solidFill>
                    <w14:schemeClr w14:val="tx1"/>
                  </w14:solidFill>
                </w14:textFill>
              </w:rPr>
              <w:t>（</w:t>
            </w:r>
            <w:r>
              <w:rPr>
                <w:rFonts w:hint="eastAsia"/>
                <w:color w:val="000000" w:themeColor="text1"/>
                <w14:textFill>
                  <w14:solidFill>
                    <w14:schemeClr w14:val="tx1"/>
                  </w14:solidFill>
                </w14:textFill>
              </w:rPr>
              <w:t>代理</w:t>
            </w:r>
            <w:r>
              <w:rPr>
                <w:rFonts w:hint="eastAsia"/>
                <w:color w:val="000000" w:themeColor="text1"/>
                <w:lang w:val="en-GB"/>
                <w14:textFill>
                  <w14:solidFill>
                    <w14:schemeClr w14:val="tx1"/>
                  </w14:solidFill>
                </w14:textFill>
              </w:rPr>
              <w:t>）</w:t>
            </w:r>
            <w:r>
              <w:rPr>
                <w:rFonts w:hint="default"/>
                <w:color w:val="000000" w:themeColor="text1"/>
                <w:lang w:val="en-GB"/>
                <w14:textFill>
                  <w14:solidFill>
                    <w14:schemeClr w14:val="tx1"/>
                  </w14:solidFill>
                </w14:textFill>
              </w:rPr>
              <w:t>授权</w:t>
            </w:r>
            <w:r>
              <w:rPr>
                <w:rFonts w:hint="eastAsia"/>
                <w:color w:val="000000" w:themeColor="text1"/>
                <w14:textFill>
                  <w14:solidFill>
                    <w14:schemeClr w14:val="tx1"/>
                  </w14:solidFill>
                </w14:textFill>
              </w:rPr>
              <w:t>书和</w:t>
            </w:r>
            <w:r>
              <w:rPr>
                <w:rFonts w:hint="eastAsia"/>
                <w:color w:val="000000" w:themeColor="text1"/>
                <w:lang w:val="en-GB"/>
                <w14:textFill>
                  <w14:solidFill>
                    <w14:schemeClr w14:val="tx1"/>
                  </w14:solidFill>
                </w14:textFill>
              </w:rPr>
              <w:t>针对本项目的唯一</w:t>
            </w:r>
            <w:r>
              <w:rPr>
                <w:rFonts w:hint="eastAsia"/>
                <w:color w:val="000000" w:themeColor="text1"/>
                <w14:textFill>
                  <w14:solidFill>
                    <w14:schemeClr w14:val="tx1"/>
                  </w14:solidFill>
                </w14:textFill>
              </w:rPr>
              <w:t>投标</w:t>
            </w:r>
            <w:r>
              <w:rPr>
                <w:rFonts w:hint="eastAsia"/>
                <w:color w:val="000000" w:themeColor="text1"/>
                <w:lang w:val="en-GB"/>
                <w14:textFill>
                  <w14:solidFill>
                    <w14:schemeClr w14:val="tx1"/>
                  </w14:solidFill>
                </w14:textFill>
              </w:rPr>
              <w:t>授权</w:t>
            </w:r>
            <w:r>
              <w:rPr>
                <w:rFonts w:hint="eastAsia"/>
                <w:color w:val="000000" w:themeColor="text1"/>
                <w14:textFill>
                  <w14:solidFill>
                    <w14:schemeClr w14:val="tx1"/>
                  </w14:solidFill>
                </w14:textFill>
              </w:rPr>
              <w:t>函</w:t>
            </w:r>
            <w:r>
              <w:rPr>
                <w:rFonts w:hint="default"/>
                <w:color w:val="000000" w:themeColor="text1"/>
                <w:lang w:val="en-GB"/>
                <w14:textFill>
                  <w14:solidFill>
                    <w14:schemeClr w14:val="tx1"/>
                  </w14:solidFill>
                </w14:textFill>
              </w:rPr>
              <w:t>且授权期限能覆盖本项目合同有效期（</w:t>
            </w:r>
            <w:r>
              <w:rPr>
                <w:rFonts w:hint="eastAsia"/>
                <w:color w:val="000000" w:themeColor="text1"/>
                <w:lang w:val="en-US" w:eastAsia="zh-CN"/>
                <w14:textFill>
                  <w14:solidFill>
                    <w14:schemeClr w14:val="tx1"/>
                  </w14:solidFill>
                </w14:textFill>
              </w:rPr>
              <w:t>2</w:t>
            </w:r>
            <w:r>
              <w:rPr>
                <w:rFonts w:hint="default"/>
                <w:color w:val="000000" w:themeColor="text1"/>
                <w:lang w:val="en-GB"/>
                <w14:textFill>
                  <w14:solidFill>
                    <w14:schemeClr w14:val="tx1"/>
                  </w14:solidFill>
                </w14:textFill>
              </w:rPr>
              <w:t>年）。</w:t>
            </w:r>
          </w:p>
          <w:p w14:paraId="0F31F28D">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b w:val="0"/>
                <w:bCs/>
                <w:color w:val="auto"/>
                <w:kern w:val="0"/>
                <w:szCs w:val="21"/>
                <w:highlight w:val="none"/>
                <w:lang w:val="en-US" w:eastAsia="zh-CN"/>
              </w:rPr>
            </w:pPr>
            <w:r>
              <w:rPr>
                <w:rFonts w:hint="eastAsia" w:ascii="宋体" w:hAnsi="宋体" w:cs="Times New Roman"/>
                <w:b w:val="0"/>
                <w:bCs/>
                <w:color w:val="auto"/>
                <w:kern w:val="0"/>
                <w:szCs w:val="21"/>
                <w:highlight w:val="none"/>
                <w:lang w:val="en-US" w:eastAsia="zh-CN"/>
              </w:rPr>
              <w:t>6.企业认证</w:t>
            </w:r>
          </w:p>
          <w:p w14:paraId="6DA15195">
            <w:pPr>
              <w:keepNext w:val="0"/>
              <w:keepLines w:val="0"/>
              <w:numPr>
                <w:ilvl w:val="0"/>
                <w:numId w:val="0"/>
              </w:numPr>
              <w:suppressLineNumbers w:val="0"/>
              <w:spacing w:before="0" w:beforeAutospacing="0" w:after="0" w:afterAutospacing="0" w:line="360" w:lineRule="auto"/>
              <w:ind w:left="0" w:right="0" w:firstLine="420" w:firstLineChars="200"/>
              <w:rPr>
                <w:rFonts w:hint="eastAsia"/>
                <w:color w:val="000000" w:themeColor="text1"/>
                <w:lang w:val="en-GB" w:eastAsia="zh-CN"/>
                <w14:textFill>
                  <w14:solidFill>
                    <w14:schemeClr w14:val="tx1"/>
                  </w14:solidFill>
                </w14:textFill>
              </w:rPr>
            </w:pPr>
            <w:r>
              <w:rPr>
                <w:rFonts w:hint="eastAsia"/>
                <w:color w:val="000000" w:themeColor="text1"/>
                <w:lang w:val="en-GB"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val="en-GB" w:eastAsia="zh-CN"/>
                <w14:textFill>
                  <w14:solidFill>
                    <w14:schemeClr w14:val="tx1"/>
                  </w14:solidFill>
                </w14:textFill>
              </w:rPr>
              <w:t>投标产品的生产企业须具备国家指定机构颁发的GB/TI9001或ISO 9001质量管理体系认证或国际标准化组织颁发的ISO/IATF16949质量体系认证，</w:t>
            </w:r>
          </w:p>
          <w:p w14:paraId="3097F520">
            <w:pPr>
              <w:keepNext w:val="0"/>
              <w:keepLines w:val="0"/>
              <w:numPr>
                <w:ilvl w:val="0"/>
                <w:numId w:val="0"/>
              </w:numPr>
              <w:suppressLineNumbers w:val="0"/>
              <w:spacing w:before="0" w:beforeAutospacing="0" w:after="0" w:afterAutospacing="0" w:line="360" w:lineRule="auto"/>
              <w:ind w:left="0" w:right="0" w:firstLine="420" w:firstLineChars="200"/>
              <w:rPr>
                <w:rFonts w:hint="eastAsia"/>
                <w:color w:val="000000" w:themeColor="text1"/>
                <w:lang w:val="en-GB" w:eastAsia="zh-CN"/>
                <w14:textFill>
                  <w14:solidFill>
                    <w14:schemeClr w14:val="tx1"/>
                  </w14:solidFill>
                </w14:textFill>
              </w:rPr>
            </w:pPr>
            <w:r>
              <w:rPr>
                <w:rFonts w:hint="eastAsia"/>
                <w:color w:val="000000" w:themeColor="text1"/>
                <w:lang w:val="en-GB" w:eastAsia="zh-CN"/>
                <w14:textFill>
                  <w14:solidFill>
                    <w14:schemeClr w14:val="tx1"/>
                  </w14:solidFill>
                </w14:textFill>
              </w:rPr>
              <w:t>（</w:t>
            </w:r>
            <w:r>
              <w:rPr>
                <w:rFonts w:hint="eastAsia"/>
                <w:color w:val="000000" w:themeColor="text1"/>
                <w:lang w:val="en-US" w:eastAsia="zh-CN"/>
                <w14:textFill>
                  <w14:solidFill>
                    <w14:schemeClr w14:val="tx1"/>
                  </w14:solidFill>
                </w14:textFill>
              </w:rPr>
              <w:t>2）</w:t>
            </w:r>
            <w:r>
              <w:rPr>
                <w:rFonts w:hint="eastAsia"/>
                <w:color w:val="000000" w:themeColor="text1"/>
                <w:lang w:val="en-GB" w:eastAsia="zh-CN"/>
                <w14:textFill>
                  <w14:solidFill>
                    <w14:schemeClr w14:val="tx1"/>
                  </w14:solidFill>
                </w14:textFill>
              </w:rPr>
              <w:t>投标产品的生产企业须具备国家指定机构颁发的GB/T24001或ISO14001环境管理体系认证。</w:t>
            </w:r>
          </w:p>
          <w:p w14:paraId="2B8D1150">
            <w:pPr>
              <w:keepNext w:val="0"/>
              <w:keepLines w:val="0"/>
              <w:numPr>
                <w:ilvl w:val="0"/>
                <w:numId w:val="0"/>
              </w:numPr>
              <w:suppressLineNumbers w:val="0"/>
              <w:spacing w:before="0" w:beforeAutospacing="0" w:after="0" w:afterAutospacing="0" w:line="360" w:lineRule="auto"/>
              <w:ind w:left="0" w:right="0" w:firstLine="420" w:firstLineChars="200"/>
              <w:rPr>
                <w:rFonts w:hint="eastAsia"/>
                <w:color w:val="000000" w:themeColor="text1"/>
                <w:lang w:val="en-GB" w:eastAsia="zh-CN"/>
                <w14:textFill>
                  <w14:solidFill>
                    <w14:schemeClr w14:val="tx1"/>
                  </w14:solidFill>
                </w14:textFill>
              </w:rPr>
            </w:pPr>
            <w:r>
              <w:rPr>
                <w:rFonts w:hint="eastAsia"/>
                <w:color w:val="000000" w:themeColor="text1"/>
                <w:lang w:val="en-GB" w:eastAsia="zh-CN"/>
                <w14:textFill>
                  <w14:solidFill>
                    <w14:schemeClr w14:val="tx1"/>
                  </w14:solidFill>
                </w14:textFill>
              </w:rPr>
              <w:t>（</w:t>
            </w:r>
            <w:r>
              <w:rPr>
                <w:rFonts w:hint="eastAsia"/>
                <w:color w:val="000000" w:themeColor="text1"/>
                <w:lang w:val="en-US" w:eastAsia="zh-CN"/>
                <w14:textFill>
                  <w14:solidFill>
                    <w14:schemeClr w14:val="tx1"/>
                  </w14:solidFill>
                </w14:textFill>
              </w:rPr>
              <w:t>3）</w:t>
            </w:r>
            <w:r>
              <w:rPr>
                <w:rFonts w:hint="eastAsia"/>
                <w:color w:val="000000" w:themeColor="text1"/>
                <w:lang w:val="en-GB" w:eastAsia="zh-CN"/>
                <w14:textFill>
                  <w14:solidFill>
                    <w14:schemeClr w14:val="tx1"/>
                  </w14:solidFill>
                </w14:textFill>
              </w:rPr>
              <w:t>投标产品的生产企业须具备国家指定机构颁发的GB/T28001或OHSMS18001或GB/T45001或ISO45001职业健康安全管理体系认证。</w:t>
            </w:r>
          </w:p>
          <w:p w14:paraId="77631E48">
            <w:pPr>
              <w:keepNext w:val="0"/>
              <w:keepLines w:val="0"/>
              <w:suppressLineNumbers w:val="0"/>
              <w:adjustRightInd w:val="0"/>
              <w:snapToGrid w:val="0"/>
              <w:spacing w:before="0" w:beforeAutospacing="0" w:after="0" w:afterAutospacing="0" w:line="360" w:lineRule="auto"/>
              <w:ind w:left="0" w:right="0" w:firstLine="211" w:firstLineChars="100"/>
              <w:rPr>
                <w:rFonts w:hint="default" w:ascii="宋体" w:hAnsi="宋体" w:cs="Times New Roman"/>
                <w:b/>
                <w:color w:val="auto"/>
                <w:kern w:val="0"/>
                <w:szCs w:val="21"/>
                <w:highlight w:val="none"/>
              </w:rPr>
            </w:pPr>
            <w:r>
              <w:rPr>
                <w:rFonts w:hint="eastAsia" w:ascii="宋体" w:hAnsi="宋体" w:cs="Times New Roman"/>
                <w:b/>
                <w:color w:val="auto"/>
                <w:kern w:val="0"/>
                <w:szCs w:val="21"/>
                <w:highlight w:val="none"/>
                <w:lang w:eastAsia="zh-CN"/>
              </w:rPr>
              <w:t>注：</w:t>
            </w:r>
            <w:r>
              <w:rPr>
                <w:rFonts w:hint="eastAsia" w:ascii="宋体" w:hAnsi="宋体" w:cs="Times New Roman"/>
                <w:b/>
                <w:color w:val="auto"/>
                <w:kern w:val="0"/>
                <w:szCs w:val="21"/>
                <w:highlight w:val="none"/>
              </w:rPr>
              <w:t>提供</w:t>
            </w:r>
            <w:r>
              <w:rPr>
                <w:rFonts w:hint="eastAsia" w:ascii="宋体" w:hAnsi="宋体" w:cs="Times New Roman"/>
                <w:b/>
                <w:color w:val="auto"/>
                <w:kern w:val="0"/>
                <w:szCs w:val="21"/>
                <w:highlight w:val="none"/>
                <w:lang w:eastAsia="zh-CN"/>
              </w:rPr>
              <w:t>以上认证证书</w:t>
            </w:r>
            <w:r>
              <w:rPr>
                <w:rFonts w:hint="eastAsia" w:ascii="宋体" w:hAnsi="宋体" w:cs="Times New Roman"/>
                <w:b/>
                <w:color w:val="auto"/>
                <w:szCs w:val="21"/>
                <w:highlight w:val="none"/>
              </w:rPr>
              <w:t>加盖</w:t>
            </w:r>
            <w:r>
              <w:rPr>
                <w:rFonts w:hint="eastAsia" w:ascii="宋体" w:hAnsi="宋体" w:cs="Times New Roman"/>
                <w:b/>
                <w:color w:val="auto"/>
                <w:szCs w:val="21"/>
                <w:highlight w:val="none"/>
                <w:lang w:eastAsia="zh-CN"/>
              </w:rPr>
              <w:t>投标</w:t>
            </w:r>
            <w:r>
              <w:rPr>
                <w:rFonts w:hint="eastAsia" w:ascii="宋体" w:hAnsi="宋体" w:cs="Times New Roman"/>
                <w:b/>
                <w:color w:val="auto"/>
                <w:szCs w:val="21"/>
                <w:highlight w:val="none"/>
              </w:rPr>
              <w:t>单位公章</w:t>
            </w:r>
            <w:r>
              <w:rPr>
                <w:rFonts w:hint="eastAsia" w:ascii="宋体" w:hAnsi="宋体" w:cs="Times New Roman"/>
                <w:b/>
                <w:color w:val="auto"/>
                <w:kern w:val="0"/>
                <w:szCs w:val="21"/>
                <w:highlight w:val="none"/>
              </w:rPr>
              <w:t>。</w:t>
            </w:r>
          </w:p>
          <w:p w14:paraId="097CBE03">
            <w:pPr>
              <w:keepNext w:val="0"/>
              <w:keepLines w:val="0"/>
              <w:suppressLineNumbers w:val="0"/>
              <w:autoSpaceDE w:val="0"/>
              <w:autoSpaceDN w:val="0"/>
              <w:adjustRightInd w:val="0"/>
              <w:snapToGrid w:val="0"/>
              <w:spacing w:before="0" w:beforeAutospacing="0" w:after="0" w:afterAutospacing="0" w:line="360" w:lineRule="auto"/>
              <w:ind w:left="0" w:right="0" w:firstLine="417" w:firstLineChars="198"/>
              <w:rPr>
                <w:rFonts w:hint="default" w:ascii="宋体" w:hAnsi="宋体" w:cs="宋体"/>
                <w:b/>
                <w:color w:val="auto"/>
                <w:szCs w:val="21"/>
                <w:highlight w:val="none"/>
              </w:rPr>
            </w:pPr>
            <w:r>
              <w:rPr>
                <w:rFonts w:hint="eastAsia" w:ascii="宋体" w:hAnsi="宋体" w:cs="宋体"/>
                <w:b/>
                <w:color w:val="auto"/>
                <w:szCs w:val="21"/>
                <w:highlight w:val="none"/>
              </w:rPr>
              <w:t>特别说明：</w:t>
            </w:r>
          </w:p>
          <w:p w14:paraId="19270B4B">
            <w:pPr>
              <w:keepNext w:val="0"/>
              <w:keepLines w:val="0"/>
              <w:suppressLineNumbers w:val="0"/>
              <w:autoSpaceDE w:val="0"/>
              <w:autoSpaceDN w:val="0"/>
              <w:adjustRightInd w:val="0"/>
              <w:snapToGrid w:val="0"/>
              <w:spacing w:before="0" w:beforeAutospacing="0" w:after="0" w:afterAutospacing="0" w:line="360" w:lineRule="auto"/>
              <w:ind w:left="0" w:right="0" w:firstLine="415" w:firstLineChars="198"/>
              <w:rPr>
                <w:rFonts w:hint="default" w:ascii="宋体" w:hAnsi="宋体" w:cs="宋体"/>
                <w:color w:val="auto"/>
                <w:kern w:val="0"/>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rPr>
              <w:t>1）</w:t>
            </w:r>
            <w:r>
              <w:rPr>
                <w:rFonts w:hint="eastAsia" w:ascii="宋体" w:hAnsi="宋体" w:cs="宋体"/>
                <w:color w:val="auto"/>
                <w:szCs w:val="21"/>
                <w:highlight w:val="none"/>
              </w:rPr>
              <w:t>上述要求有一条不满足则</w:t>
            </w:r>
            <w:r>
              <w:rPr>
                <w:rFonts w:hint="eastAsia" w:ascii="宋体" w:hAnsi="宋体" w:cs="宋体"/>
                <w:color w:val="auto"/>
                <w:szCs w:val="21"/>
                <w:highlight w:val="none"/>
                <w:lang w:eastAsia="zh-CN"/>
              </w:rPr>
              <w:t>投标文件</w:t>
            </w:r>
            <w:r>
              <w:rPr>
                <w:rFonts w:hint="eastAsia" w:ascii="宋体" w:hAnsi="宋体" w:cs="宋体"/>
                <w:color w:val="auto"/>
                <w:szCs w:val="21"/>
                <w:highlight w:val="none"/>
              </w:rPr>
              <w:t>由评标委员会作否决处理。</w:t>
            </w:r>
          </w:p>
          <w:p w14:paraId="4E6C81FB">
            <w:pPr>
              <w:keepNext w:val="0"/>
              <w:keepLines w:val="0"/>
              <w:suppressLineNumbers w:val="0"/>
              <w:autoSpaceDE w:val="0"/>
              <w:autoSpaceDN w:val="0"/>
              <w:adjustRightInd w:val="0"/>
              <w:snapToGrid w:val="0"/>
              <w:spacing w:before="0" w:beforeAutospacing="0" w:after="0" w:afterAutospacing="0" w:line="360" w:lineRule="auto"/>
              <w:ind w:left="0" w:right="0" w:firstLine="415" w:firstLineChars="198"/>
              <w:rPr>
                <w:rFonts w:hint="default" w:ascii="宋体" w:hAnsi="宋体" w:cs="Times New Roman"/>
                <w:bCs/>
                <w:snapToGrid w:val="0"/>
                <w:color w:val="auto"/>
                <w:kern w:val="0"/>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在合同签订前均有权对</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提供的资料进行核实，若发现弄虚作假，按相关规定取消其</w:t>
            </w:r>
            <w:r>
              <w:rPr>
                <w:rFonts w:hint="eastAsia" w:ascii="宋体" w:hAnsi="宋体" w:cs="宋体"/>
                <w:color w:val="auto"/>
                <w:szCs w:val="21"/>
                <w:highlight w:val="none"/>
                <w:lang w:eastAsia="zh-CN"/>
              </w:rPr>
              <w:t>中标</w:t>
            </w:r>
            <w:r>
              <w:rPr>
                <w:rFonts w:hint="eastAsia" w:ascii="宋体" w:hAnsi="宋体" w:cs="宋体"/>
                <w:color w:val="auto"/>
                <w:szCs w:val="21"/>
                <w:highlight w:val="none"/>
              </w:rPr>
              <w:t>资格，</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承担因此造成的相关责任并赔偿相应损失。</w:t>
            </w:r>
          </w:p>
        </w:tc>
      </w:tr>
      <w:tr w14:paraId="2A304C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34035E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1.4.2</w:t>
            </w:r>
          </w:p>
        </w:tc>
        <w:tc>
          <w:tcPr>
            <w:tcW w:w="1792" w:type="dxa"/>
            <w:noWrap w:val="0"/>
            <w:vAlign w:val="center"/>
          </w:tcPr>
          <w:p w14:paraId="759B5DE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default" w:ascii="宋体" w:hAnsi="宋体" w:cs="Times New Roman"/>
                <w:color w:val="auto"/>
                <w:kern w:val="0"/>
                <w:szCs w:val="21"/>
                <w:highlight w:val="none"/>
              </w:rPr>
              <w:t>是否接受联合体</w:t>
            </w:r>
            <w:r>
              <w:rPr>
                <w:rFonts w:hint="eastAsia" w:ascii="宋体" w:hAnsi="宋体" w:cs="Times New Roman"/>
                <w:color w:val="auto"/>
                <w:kern w:val="0"/>
                <w:szCs w:val="21"/>
                <w:highlight w:val="none"/>
                <w:lang w:eastAsia="zh-CN"/>
              </w:rPr>
              <w:t>投标</w:t>
            </w:r>
          </w:p>
        </w:tc>
        <w:tc>
          <w:tcPr>
            <w:tcW w:w="6548" w:type="dxa"/>
            <w:noWrap w:val="0"/>
            <w:vAlign w:val="center"/>
          </w:tcPr>
          <w:p w14:paraId="26A7C3D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不接受</w:t>
            </w:r>
          </w:p>
        </w:tc>
      </w:tr>
      <w:tr w14:paraId="7734A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978D6A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1.4.3</w:t>
            </w:r>
          </w:p>
        </w:tc>
        <w:tc>
          <w:tcPr>
            <w:tcW w:w="1792" w:type="dxa"/>
            <w:noWrap w:val="0"/>
            <w:vAlign w:val="center"/>
          </w:tcPr>
          <w:p w14:paraId="0D9C539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不得存在的其他情形</w:t>
            </w:r>
          </w:p>
        </w:tc>
        <w:tc>
          <w:tcPr>
            <w:tcW w:w="6548" w:type="dxa"/>
            <w:noWrap w:val="0"/>
            <w:vAlign w:val="center"/>
          </w:tcPr>
          <w:p w14:paraId="713A5A6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详见本须知正文内容。</w:t>
            </w:r>
          </w:p>
        </w:tc>
      </w:tr>
      <w:tr w14:paraId="2414B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703BB6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1.9.1</w:t>
            </w:r>
          </w:p>
        </w:tc>
        <w:tc>
          <w:tcPr>
            <w:tcW w:w="1792" w:type="dxa"/>
            <w:noWrap w:val="0"/>
            <w:vAlign w:val="center"/>
          </w:tcPr>
          <w:p w14:paraId="1D3F7B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踏勘现场</w:t>
            </w:r>
          </w:p>
        </w:tc>
        <w:tc>
          <w:tcPr>
            <w:tcW w:w="6548" w:type="dxa"/>
            <w:noWrap w:val="0"/>
            <w:vAlign w:val="center"/>
          </w:tcPr>
          <w:p w14:paraId="17E3264F">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不组织</w:t>
            </w:r>
          </w:p>
        </w:tc>
      </w:tr>
      <w:tr w14:paraId="22B504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E9E020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1.10.1</w:t>
            </w:r>
          </w:p>
        </w:tc>
        <w:tc>
          <w:tcPr>
            <w:tcW w:w="1792" w:type="dxa"/>
            <w:noWrap w:val="0"/>
            <w:vAlign w:val="center"/>
          </w:tcPr>
          <w:p w14:paraId="7263168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预备会</w:t>
            </w:r>
          </w:p>
        </w:tc>
        <w:tc>
          <w:tcPr>
            <w:tcW w:w="6548" w:type="dxa"/>
            <w:noWrap w:val="0"/>
            <w:vAlign w:val="center"/>
          </w:tcPr>
          <w:p w14:paraId="6049F648">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不召开</w:t>
            </w:r>
          </w:p>
        </w:tc>
      </w:tr>
      <w:tr w14:paraId="7F839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71B3E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1.11.1</w:t>
            </w:r>
          </w:p>
        </w:tc>
        <w:tc>
          <w:tcPr>
            <w:tcW w:w="1792" w:type="dxa"/>
            <w:noWrap w:val="0"/>
            <w:vAlign w:val="center"/>
          </w:tcPr>
          <w:p w14:paraId="688E124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分包</w:t>
            </w:r>
          </w:p>
        </w:tc>
        <w:tc>
          <w:tcPr>
            <w:tcW w:w="6548" w:type="dxa"/>
            <w:noWrap w:val="0"/>
            <w:vAlign w:val="center"/>
          </w:tcPr>
          <w:p w14:paraId="371769D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rPr>
              <w:t>不允许</w:t>
            </w:r>
          </w:p>
        </w:tc>
      </w:tr>
      <w:tr w14:paraId="22F2A3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03373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1.12.3</w:t>
            </w:r>
          </w:p>
        </w:tc>
        <w:tc>
          <w:tcPr>
            <w:tcW w:w="1792" w:type="dxa"/>
            <w:noWrap w:val="0"/>
            <w:vAlign w:val="center"/>
          </w:tcPr>
          <w:p w14:paraId="069FC2D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响应和偏离</w:t>
            </w:r>
          </w:p>
        </w:tc>
        <w:tc>
          <w:tcPr>
            <w:tcW w:w="6548" w:type="dxa"/>
            <w:noWrap w:val="0"/>
            <w:vAlign w:val="center"/>
          </w:tcPr>
          <w:p w14:paraId="5B5A596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存在</w:t>
            </w:r>
            <w:r>
              <w:rPr>
                <w:rFonts w:hint="eastAsia" w:ascii="宋体" w:hAnsi="宋体" w:cs="Times New Roman"/>
                <w:color w:val="auto"/>
                <w:szCs w:val="21"/>
                <w:highlight w:val="none"/>
              </w:rPr>
              <w:t>第三章“附件：否决情况一览表”中</w:t>
            </w:r>
            <w:r>
              <w:rPr>
                <w:rFonts w:hint="eastAsia" w:ascii="宋体" w:hAnsi="宋体" w:cs="Times New Roman"/>
                <w:color w:val="auto"/>
                <w:kern w:val="0"/>
                <w:szCs w:val="21"/>
                <w:highlight w:val="none"/>
              </w:rPr>
              <w:t>情形之一的，</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视为重大偏差并作否决处理，否则，评标委员会不得视为重大偏差而否决</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的</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w:t>
            </w:r>
          </w:p>
        </w:tc>
      </w:tr>
      <w:tr w14:paraId="04AA56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E23809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2.1</w:t>
            </w:r>
          </w:p>
        </w:tc>
        <w:tc>
          <w:tcPr>
            <w:tcW w:w="1792" w:type="dxa"/>
            <w:noWrap w:val="0"/>
            <w:vAlign w:val="center"/>
          </w:tcPr>
          <w:p w14:paraId="750D329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构成</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文件的其他材料</w:t>
            </w:r>
          </w:p>
        </w:tc>
        <w:tc>
          <w:tcPr>
            <w:tcW w:w="6548" w:type="dxa"/>
            <w:noWrap w:val="0"/>
            <w:vAlign w:val="center"/>
          </w:tcPr>
          <w:p w14:paraId="57F19E1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lang w:eastAsia="zh-CN"/>
              </w:rPr>
              <w:t>招标人</w:t>
            </w:r>
            <w:r>
              <w:rPr>
                <w:rFonts w:hint="default" w:ascii="宋体" w:hAnsi="宋体" w:cs="Times New Roman"/>
                <w:color w:val="auto"/>
                <w:szCs w:val="21"/>
                <w:highlight w:val="none"/>
              </w:rPr>
              <w:t>发出的</w:t>
            </w:r>
            <w:r>
              <w:rPr>
                <w:rFonts w:hint="eastAsia" w:ascii="宋体" w:hAnsi="宋体" w:cs="Times New Roman"/>
                <w:color w:val="auto"/>
                <w:szCs w:val="21"/>
                <w:highlight w:val="none"/>
              </w:rPr>
              <w:t>澄清</w:t>
            </w:r>
            <w:r>
              <w:rPr>
                <w:rFonts w:hint="default" w:ascii="宋体" w:hAnsi="宋体" w:cs="Times New Roman"/>
                <w:color w:val="auto"/>
                <w:szCs w:val="21"/>
                <w:highlight w:val="none"/>
              </w:rPr>
              <w:t>及</w:t>
            </w:r>
            <w:r>
              <w:rPr>
                <w:rFonts w:hint="eastAsia" w:ascii="宋体" w:hAnsi="宋体" w:cs="Times New Roman"/>
                <w:color w:val="auto"/>
                <w:szCs w:val="21"/>
                <w:highlight w:val="none"/>
              </w:rPr>
              <w:t>修改</w:t>
            </w:r>
          </w:p>
        </w:tc>
      </w:tr>
      <w:tr w14:paraId="2B5B21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44A196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2</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2</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1</w:t>
            </w:r>
          </w:p>
        </w:tc>
        <w:tc>
          <w:tcPr>
            <w:tcW w:w="1792" w:type="dxa"/>
            <w:tcBorders>
              <w:bottom w:val="single" w:color="auto" w:sz="4" w:space="0"/>
            </w:tcBorders>
            <w:noWrap w:val="0"/>
            <w:vAlign w:val="center"/>
          </w:tcPr>
          <w:p w14:paraId="6F552A1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要求澄清</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文件的</w:t>
            </w:r>
            <w:r>
              <w:rPr>
                <w:rFonts w:hint="eastAsia" w:ascii="宋体" w:hAnsi="宋体" w:cs="Times New Roman"/>
                <w:color w:val="auto"/>
                <w:kern w:val="0"/>
                <w:szCs w:val="21"/>
                <w:highlight w:val="none"/>
              </w:rPr>
              <w:t>形式和</w:t>
            </w:r>
            <w:r>
              <w:rPr>
                <w:rFonts w:hint="default" w:ascii="宋体" w:hAnsi="宋体" w:cs="Times New Roman"/>
                <w:color w:val="auto"/>
                <w:kern w:val="0"/>
                <w:szCs w:val="21"/>
                <w:highlight w:val="none"/>
              </w:rPr>
              <w:t>截止时间</w:t>
            </w:r>
          </w:p>
        </w:tc>
        <w:tc>
          <w:tcPr>
            <w:tcW w:w="6548" w:type="dxa"/>
            <w:noWrap w:val="0"/>
            <w:vAlign w:val="center"/>
          </w:tcPr>
          <w:p w14:paraId="1796DAF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color w:val="auto"/>
                <w:kern w:val="0"/>
                <w:szCs w:val="21"/>
                <w:highlight w:val="none"/>
              </w:rPr>
            </w:pP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应仔细</w:t>
            </w:r>
            <w:r>
              <w:rPr>
                <w:rFonts w:hint="eastAsia" w:ascii="宋体" w:hAnsi="宋体" w:cs="Times New Roman"/>
                <w:color w:val="auto"/>
                <w:kern w:val="0"/>
                <w:szCs w:val="21"/>
                <w:highlight w:val="none"/>
              </w:rPr>
              <w:t>阅读</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w:t>
            </w:r>
            <w:r>
              <w:rPr>
                <w:rFonts w:hint="eastAsia" w:ascii="宋体" w:hAnsi="宋体" w:cs="Times New Roman"/>
                <w:color w:val="auto"/>
                <w:kern w:val="0"/>
                <w:szCs w:val="21"/>
                <w:highlight w:val="none"/>
              </w:rPr>
              <w:t>及附件</w:t>
            </w:r>
            <w:r>
              <w:rPr>
                <w:rFonts w:hint="default" w:ascii="宋体" w:hAnsi="宋体" w:cs="Times New Roman"/>
                <w:color w:val="auto"/>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color w:val="auto"/>
                <w:kern w:val="0"/>
                <w:szCs w:val="21"/>
                <w:highlight w:val="none"/>
              </w:rPr>
              <w:t>在202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0</w:t>
            </w:r>
            <w:r>
              <w:rPr>
                <w:rFonts w:hint="eastAsia" w:ascii="宋体" w:hAnsi="宋体" w:cs="宋体"/>
                <w:color w:val="auto"/>
                <w:kern w:val="0"/>
                <w:szCs w:val="21"/>
                <w:highlight w:val="none"/>
                <w:u w:val="single"/>
                <w:lang w:val="en-US" w:eastAsia="zh-CN"/>
              </w:rPr>
              <w:t>4</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1</w:t>
            </w:r>
            <w:r>
              <w:rPr>
                <w:rFonts w:hint="eastAsia" w:ascii="宋体" w:hAnsi="宋体" w:cs="宋体"/>
                <w:color w:val="auto"/>
                <w:kern w:val="0"/>
                <w:szCs w:val="21"/>
                <w:highlight w:val="none"/>
              </w:rPr>
              <w:t>日17:00</w:t>
            </w:r>
            <w:r>
              <w:rPr>
                <w:rFonts w:hint="default" w:ascii="宋体" w:hAnsi="宋体" w:cs="宋体"/>
                <w:color w:val="auto"/>
                <w:kern w:val="0"/>
                <w:szCs w:val="21"/>
                <w:highlight w:val="none"/>
              </w:rPr>
              <w:t>前</w:t>
            </w:r>
            <w:r>
              <w:rPr>
                <w:rFonts w:hint="eastAsia" w:ascii="宋体" w:hAnsi="宋体" w:cs="宋体"/>
                <w:color w:val="auto"/>
                <w:kern w:val="0"/>
                <w:szCs w:val="21"/>
                <w:highlight w:val="none"/>
              </w:rPr>
              <w:t>以书面形式（电子邮件）（加盖</w:t>
            </w:r>
            <w:r>
              <w:rPr>
                <w:rFonts w:hint="eastAsia" w:ascii="宋体" w:hAnsi="宋体" w:cs="宋体"/>
                <w:color w:val="auto"/>
                <w:kern w:val="0"/>
                <w:szCs w:val="21"/>
                <w:highlight w:val="none"/>
                <w:lang w:eastAsia="zh-CN"/>
              </w:rPr>
              <w:t>投标</w:t>
            </w:r>
            <w:r>
              <w:rPr>
                <w:rFonts w:hint="eastAsia" w:ascii="宋体" w:hAnsi="宋体" w:cs="宋体"/>
                <w:color w:val="auto"/>
                <w:kern w:val="0"/>
                <w:szCs w:val="21"/>
                <w:highlight w:val="none"/>
              </w:rPr>
              <w:t>单位公章的扫描件和可编辑word文档一并发送至</w:t>
            </w:r>
            <w:r>
              <w:rPr>
                <w:rFonts w:hint="eastAsia" w:ascii="宋体" w:hAnsi="宋体" w:cs="宋体"/>
                <w:color w:val="auto"/>
                <w:kern w:val="0"/>
                <w:szCs w:val="21"/>
                <w:highlight w:val="none"/>
                <w:lang w:eastAsia="zh-CN"/>
              </w:rPr>
              <w:t>1511707950@qq.com</w:t>
            </w:r>
            <w:r>
              <w:rPr>
                <w:rFonts w:hint="eastAsia" w:ascii="宋体" w:hAnsi="宋体" w:cs="宋体"/>
                <w:color w:val="auto"/>
                <w:kern w:val="0"/>
                <w:szCs w:val="21"/>
                <w:highlight w:val="none"/>
              </w:rPr>
              <w:t>）向代理公司提出疑问</w:t>
            </w:r>
            <w:r>
              <w:rPr>
                <w:rFonts w:hint="default" w:ascii="宋体" w:hAnsi="宋体" w:cs="宋体"/>
                <w:color w:val="auto"/>
                <w:kern w:val="0"/>
                <w:szCs w:val="21"/>
                <w:highlight w:val="none"/>
              </w:rPr>
              <w:t>。</w:t>
            </w:r>
          </w:p>
        </w:tc>
      </w:tr>
      <w:tr w14:paraId="4F6DD3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129" w:type="dxa"/>
            <w:noWrap w:val="0"/>
            <w:vAlign w:val="center"/>
          </w:tcPr>
          <w:p w14:paraId="04F530E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2.2.2</w:t>
            </w:r>
          </w:p>
        </w:tc>
        <w:tc>
          <w:tcPr>
            <w:tcW w:w="1792" w:type="dxa"/>
            <w:tcBorders>
              <w:top w:val="single" w:color="auto" w:sz="4" w:space="0"/>
            </w:tcBorders>
            <w:noWrap w:val="0"/>
            <w:vAlign w:val="center"/>
          </w:tcPr>
          <w:p w14:paraId="13867CE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文件澄清发出的</w:t>
            </w:r>
            <w:r>
              <w:rPr>
                <w:rFonts w:hint="eastAsia" w:ascii="宋体" w:hAnsi="宋体" w:cs="Times New Roman"/>
                <w:color w:val="auto"/>
                <w:kern w:val="0"/>
                <w:szCs w:val="21"/>
                <w:highlight w:val="none"/>
              </w:rPr>
              <w:t>形式和</w:t>
            </w:r>
            <w:r>
              <w:rPr>
                <w:rFonts w:hint="default" w:ascii="宋体" w:hAnsi="宋体" w:cs="Times New Roman"/>
                <w:color w:val="auto"/>
                <w:kern w:val="0"/>
                <w:szCs w:val="21"/>
                <w:highlight w:val="none"/>
              </w:rPr>
              <w:t>时间</w:t>
            </w:r>
          </w:p>
        </w:tc>
        <w:tc>
          <w:tcPr>
            <w:tcW w:w="6548" w:type="dxa"/>
            <w:noWrap w:val="0"/>
            <w:vAlign w:val="center"/>
          </w:tcPr>
          <w:p w14:paraId="567B20A7">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时间：202</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年</w:t>
            </w:r>
            <w:r>
              <w:rPr>
                <w:rFonts w:hint="eastAsia" w:ascii="宋体" w:hAnsi="宋体" w:cs="Times New Roman"/>
                <w:color w:val="auto"/>
                <w:szCs w:val="21"/>
                <w:highlight w:val="none"/>
                <w:u w:val="single"/>
              </w:rPr>
              <w:t>0</w:t>
            </w:r>
            <w:r>
              <w:rPr>
                <w:rFonts w:hint="eastAsia" w:ascii="宋体" w:hAnsi="宋体" w:cs="Times New Roman"/>
                <w:color w:val="auto"/>
                <w:szCs w:val="21"/>
                <w:highlight w:val="none"/>
                <w:u w:val="single"/>
                <w:lang w:val="en-US" w:eastAsia="zh-CN"/>
              </w:rPr>
              <w:t>4</w:t>
            </w:r>
            <w:r>
              <w:rPr>
                <w:rFonts w:hint="eastAsia" w:ascii="宋体" w:hAnsi="宋体" w:cs="Times New Roman"/>
                <w:color w:val="auto"/>
                <w:szCs w:val="21"/>
                <w:highlight w:val="none"/>
              </w:rPr>
              <w:t>月</w:t>
            </w:r>
            <w:r>
              <w:rPr>
                <w:rFonts w:hint="eastAsia" w:ascii="宋体" w:hAnsi="宋体" w:cs="Times New Roman"/>
                <w:color w:val="auto"/>
                <w:szCs w:val="21"/>
                <w:highlight w:val="none"/>
                <w:u w:val="single"/>
                <w:lang w:val="en-US" w:eastAsia="zh-CN"/>
              </w:rPr>
              <w:t>2</w:t>
            </w:r>
            <w:r>
              <w:rPr>
                <w:rFonts w:hint="eastAsia" w:ascii="宋体" w:hAnsi="宋体" w:cs="Times New Roman"/>
                <w:color w:val="auto"/>
                <w:szCs w:val="21"/>
                <w:highlight w:val="none"/>
              </w:rPr>
              <w:t>日</w:t>
            </w:r>
          </w:p>
          <w:p w14:paraId="48C04D09">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snapToGrid w:val="0"/>
                <w:color w:val="auto"/>
                <w:kern w:val="0"/>
                <w:szCs w:val="21"/>
                <w:highlight w:val="none"/>
              </w:rPr>
            </w:pPr>
            <w:r>
              <w:rPr>
                <w:rFonts w:hint="eastAsia" w:ascii="宋体" w:hAnsi="宋体" w:cs="Times New Roman"/>
                <w:color w:val="auto"/>
                <w:szCs w:val="21"/>
                <w:highlight w:val="none"/>
              </w:rPr>
              <w:t>形式：</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在认为有必要对</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所提问题进行澄清或修改时，应将澄清或者修改内容用书面形式（电子邮件）对所有</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提出的问题进行回答，并将澄清或者修改内容作为</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文件的补充部分。</w:t>
            </w:r>
          </w:p>
        </w:tc>
      </w:tr>
      <w:tr w14:paraId="1615A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ED1A1C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2.3.1</w:t>
            </w:r>
          </w:p>
        </w:tc>
        <w:tc>
          <w:tcPr>
            <w:tcW w:w="1792" w:type="dxa"/>
            <w:noWrap w:val="0"/>
            <w:vAlign w:val="center"/>
          </w:tcPr>
          <w:p w14:paraId="2D80AA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文件修改发出的形式</w:t>
            </w:r>
            <w:r>
              <w:rPr>
                <w:rFonts w:hint="eastAsia" w:ascii="宋体" w:hAnsi="宋体" w:cs="Times New Roman"/>
                <w:color w:val="auto"/>
                <w:kern w:val="0"/>
                <w:szCs w:val="21"/>
                <w:highlight w:val="none"/>
              </w:rPr>
              <w:t>和</w:t>
            </w:r>
            <w:r>
              <w:rPr>
                <w:rFonts w:hint="default" w:ascii="宋体" w:hAnsi="宋体" w:cs="Times New Roman"/>
                <w:color w:val="auto"/>
                <w:kern w:val="0"/>
                <w:szCs w:val="21"/>
                <w:highlight w:val="none"/>
              </w:rPr>
              <w:t>时间</w:t>
            </w:r>
          </w:p>
        </w:tc>
        <w:tc>
          <w:tcPr>
            <w:tcW w:w="6548" w:type="dxa"/>
            <w:noWrap w:val="0"/>
            <w:vAlign w:val="center"/>
          </w:tcPr>
          <w:p w14:paraId="5BD0734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时间：同上</w:t>
            </w:r>
          </w:p>
          <w:p w14:paraId="425A03C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snapToGrid w:val="0"/>
                <w:color w:val="auto"/>
                <w:kern w:val="0"/>
                <w:szCs w:val="21"/>
                <w:highlight w:val="none"/>
              </w:rPr>
              <w:t>形式：同上</w:t>
            </w:r>
          </w:p>
        </w:tc>
      </w:tr>
      <w:tr w14:paraId="797A7E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18CC8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3.1.1</w:t>
            </w:r>
          </w:p>
        </w:tc>
        <w:tc>
          <w:tcPr>
            <w:tcW w:w="1792" w:type="dxa"/>
            <w:noWrap w:val="0"/>
            <w:vAlign w:val="center"/>
          </w:tcPr>
          <w:p w14:paraId="609E74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构成</w:t>
            </w: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的其他</w:t>
            </w:r>
            <w:r>
              <w:rPr>
                <w:rFonts w:hint="eastAsia" w:ascii="宋体" w:hAnsi="宋体" w:cs="Times New Roman"/>
                <w:color w:val="auto"/>
                <w:kern w:val="0"/>
                <w:szCs w:val="21"/>
                <w:highlight w:val="none"/>
              </w:rPr>
              <w:t>资</w:t>
            </w:r>
            <w:r>
              <w:rPr>
                <w:rFonts w:hint="default" w:ascii="宋体" w:hAnsi="宋体" w:cs="Times New Roman"/>
                <w:color w:val="auto"/>
                <w:kern w:val="0"/>
                <w:szCs w:val="21"/>
                <w:highlight w:val="none"/>
              </w:rPr>
              <w:t>料</w:t>
            </w:r>
          </w:p>
        </w:tc>
        <w:tc>
          <w:tcPr>
            <w:tcW w:w="6548" w:type="dxa"/>
            <w:noWrap w:val="0"/>
            <w:vAlign w:val="center"/>
          </w:tcPr>
          <w:p w14:paraId="4FE5708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的书面澄清、说明和补正（但不得改变</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的实质性内容）</w:t>
            </w:r>
          </w:p>
        </w:tc>
      </w:tr>
      <w:tr w14:paraId="7D81A7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4C807C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.2.1</w:t>
            </w:r>
          </w:p>
        </w:tc>
        <w:tc>
          <w:tcPr>
            <w:tcW w:w="1792" w:type="dxa"/>
            <w:noWrap w:val="0"/>
            <w:vAlign w:val="center"/>
          </w:tcPr>
          <w:p w14:paraId="3C9AC12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增值税税金的计算方法</w:t>
            </w:r>
          </w:p>
        </w:tc>
        <w:tc>
          <w:tcPr>
            <w:tcW w:w="6548" w:type="dxa"/>
            <w:noWrap w:val="0"/>
            <w:vAlign w:val="center"/>
          </w:tcPr>
          <w:p w14:paraId="27F219D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一般计税法（13%）</w:t>
            </w:r>
          </w:p>
        </w:tc>
      </w:tr>
      <w:tr w14:paraId="748C8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3F1E06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3.2</w:t>
            </w:r>
          </w:p>
        </w:tc>
        <w:tc>
          <w:tcPr>
            <w:tcW w:w="1792" w:type="dxa"/>
            <w:noWrap w:val="0"/>
            <w:vAlign w:val="center"/>
          </w:tcPr>
          <w:p w14:paraId="6007A88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报价</w:t>
            </w:r>
          </w:p>
        </w:tc>
        <w:tc>
          <w:tcPr>
            <w:tcW w:w="6548" w:type="dxa"/>
            <w:noWrap w:val="0"/>
            <w:vAlign w:val="center"/>
          </w:tcPr>
          <w:p w14:paraId="40EFAECF">
            <w:pPr>
              <w:keepNext w:val="0"/>
              <w:keepLines w:val="0"/>
              <w:suppressLineNumbers w:val="0"/>
              <w:adjustRightInd w:val="0"/>
              <w:snapToGrid w:val="0"/>
              <w:spacing w:before="0" w:beforeAutospacing="0" w:after="0" w:afterAutospacing="0" w:line="360" w:lineRule="auto"/>
              <w:ind w:left="0" w:right="0" w:firstLine="422" w:firstLineChars="200"/>
              <w:rPr>
                <w:rFonts w:hint="default" w:ascii="宋体" w:hAnsi="宋体" w:cs="Times New Roman"/>
                <w:b/>
                <w:bCs/>
                <w:color w:val="auto"/>
                <w:szCs w:val="21"/>
                <w:highlight w:val="none"/>
              </w:rPr>
            </w:pPr>
            <w:r>
              <w:rPr>
                <w:rFonts w:hint="eastAsia" w:ascii="宋体" w:hAnsi="宋体" w:cs="Times New Roman"/>
                <w:b/>
                <w:bCs/>
                <w:color w:val="auto"/>
                <w:szCs w:val="21"/>
                <w:highlight w:val="none"/>
              </w:rPr>
              <w:t>1.报价模式</w:t>
            </w:r>
          </w:p>
          <w:p w14:paraId="46743B4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报价方式：固定单价。</w:t>
            </w:r>
          </w:p>
          <w:p w14:paraId="10C50C80">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暂定供货量：</w:t>
            </w:r>
            <w:r>
              <w:rPr>
                <w:rFonts w:hint="eastAsia" w:ascii="宋体" w:hAnsi="宋体" w:cs="Times New Roman"/>
                <w:color w:val="auto"/>
                <w:szCs w:val="21"/>
                <w:highlight w:val="none"/>
                <w:lang w:val="en-US" w:eastAsia="zh-CN"/>
              </w:rPr>
              <w:t>2390个</w:t>
            </w:r>
            <w:r>
              <w:rPr>
                <w:rFonts w:hint="eastAsia" w:ascii="宋体" w:hAnsi="宋体" w:cs="Times New Roman"/>
                <w:color w:val="auto"/>
                <w:szCs w:val="21"/>
                <w:highlight w:val="none"/>
              </w:rPr>
              <w:t>。</w:t>
            </w:r>
          </w:p>
          <w:p w14:paraId="4EE622E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暂定</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报价=∑各项暂定供货量×各项固定单价报价。</w:t>
            </w:r>
          </w:p>
          <w:p w14:paraId="1FCB635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固定单价报价的数值保留两位小数，小数点后第三位四舍五入，小数点后不足两位的按实际位数保留。报价保留小数点位数的要求仅为方便评标使用，不作为否决条件。</w:t>
            </w:r>
          </w:p>
          <w:p w14:paraId="7EECDD29">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cs="Times New Roman"/>
                <w:b/>
                <w:bCs/>
                <w:color w:val="auto"/>
                <w:szCs w:val="21"/>
                <w:highlight w:val="none"/>
              </w:rPr>
            </w:pPr>
            <w:r>
              <w:rPr>
                <w:rFonts w:hint="eastAsia" w:ascii="宋体" w:hAnsi="宋体" w:cs="Times New Roman"/>
                <w:b/>
                <w:bCs/>
                <w:color w:val="auto"/>
                <w:szCs w:val="21"/>
                <w:highlight w:val="none"/>
              </w:rPr>
              <w:t>2.最高限价</w:t>
            </w:r>
          </w:p>
          <w:p w14:paraId="127014E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本项目设置最高限价，</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总报价最高限价为人民币</w:t>
            </w:r>
            <w:r>
              <w:rPr>
                <w:rFonts w:hint="eastAsia" w:ascii="宋体" w:hAnsi="宋体" w:cs="Times New Roman"/>
                <w:color w:val="auto"/>
                <w:szCs w:val="21"/>
                <w:highlight w:val="none"/>
                <w:lang w:val="en-US" w:eastAsia="zh-CN"/>
              </w:rPr>
              <w:t>230</w:t>
            </w:r>
            <w:r>
              <w:rPr>
                <w:rFonts w:hint="eastAsia" w:ascii="宋体" w:hAnsi="宋体" w:cs="Times New Roman"/>
                <w:color w:val="auto"/>
                <w:szCs w:val="21"/>
                <w:highlight w:val="none"/>
              </w:rPr>
              <w:t>万元（含税）；</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的</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报价不得超过相应最高限价，否则由评标委员会作否决</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处理。</w:t>
            </w:r>
          </w:p>
          <w:p w14:paraId="2C46D1B1">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cs="Times New Roman"/>
                <w:b/>
                <w:bCs/>
                <w:color w:val="auto"/>
                <w:szCs w:val="21"/>
                <w:highlight w:val="none"/>
              </w:rPr>
            </w:pPr>
            <w:r>
              <w:rPr>
                <w:rFonts w:hint="eastAsia" w:ascii="宋体" w:hAnsi="宋体" w:cs="Times New Roman"/>
                <w:b/>
                <w:bCs/>
                <w:color w:val="auto"/>
                <w:szCs w:val="21"/>
                <w:highlight w:val="none"/>
              </w:rPr>
              <w:t>3.报价说明</w:t>
            </w:r>
          </w:p>
          <w:p w14:paraId="12FF79F2">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（1）本项目采用人民币报价，报价为</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范围内固定单价含税（</w:t>
            </w:r>
            <w:r>
              <w:rPr>
                <w:rFonts w:hint="eastAsia" w:ascii="宋体" w:hAnsi="宋体" w:cs="Times New Roman"/>
                <w:b/>
                <w:color w:val="auto"/>
                <w:szCs w:val="21"/>
                <w:highlight w:val="none"/>
              </w:rPr>
              <w:t>增值税专用发票税率为13%，</w:t>
            </w:r>
            <w:r>
              <w:rPr>
                <w:rFonts w:hint="eastAsia" w:ascii="宋体" w:hAnsi="宋体" w:cs="Times New Roman"/>
                <w:color w:val="auto"/>
                <w:szCs w:val="21"/>
                <w:highlight w:val="none"/>
              </w:rPr>
              <w:t>若乙方开具的增值税专用发票的税率与本约定不符，结算时税款差额将从结算款中扣除）包干，应包含与项目相关的全部费用。</w:t>
            </w:r>
            <w:r>
              <w:rPr>
                <w:rFonts w:hint="eastAsia" w:ascii="宋体" w:hAnsi="宋体" w:cs="Times New Roman"/>
                <w:color w:val="auto"/>
                <w:szCs w:val="21"/>
                <w:highlight w:val="none"/>
                <w:lang w:eastAsia="zh-CN"/>
              </w:rPr>
              <w:t>中标</w:t>
            </w:r>
            <w:r>
              <w:rPr>
                <w:rFonts w:hint="eastAsia" w:ascii="宋体" w:hAnsi="宋体" w:cs="Times New Roman"/>
                <w:color w:val="auto"/>
                <w:szCs w:val="21"/>
                <w:highlight w:val="none"/>
              </w:rPr>
              <w:t>价即为合同价，最终结算合同价以实际采购数量为准。</w:t>
            </w:r>
          </w:p>
          <w:p w14:paraId="614DEA30">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（2）</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报价应是本章</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须知前附表1.3.1项所述全部内容，</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应自主考察现场及运输条件，自主确定运输路线、运输方式，根据</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文件中规定的产品类型、供货方式及自身实力和市场情况自主报价。</w:t>
            </w:r>
          </w:p>
          <w:p w14:paraId="0264AC65">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（3）</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报价为厂家运至</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指定地点的货物的单价及总价。单价为单项货物到现场的所有费用</w:t>
            </w:r>
            <w:r>
              <w:rPr>
                <w:rFonts w:hint="eastAsia" w:ascii="宋体" w:hAnsi="宋体" w:cs="Times New Roman"/>
                <w:color w:val="auto"/>
                <w:szCs w:val="21"/>
                <w:highlight w:val="none"/>
                <w:lang w:eastAsia="zh-CN"/>
              </w:rPr>
              <w:t>，包括但不限于运输、保险、卸货、搬运和保险的一切费用。</w:t>
            </w:r>
          </w:p>
          <w:p w14:paraId="4232EE96">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（4）</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有权决定分批次</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w:t>
            </w:r>
            <w:r>
              <w:rPr>
                <w:rFonts w:hint="eastAsia" w:ascii="宋体" w:hAnsi="宋体" w:cs="Times New Roman"/>
                <w:color w:val="auto"/>
                <w:szCs w:val="21"/>
                <w:highlight w:val="none"/>
                <w:lang w:eastAsia="zh-CN"/>
              </w:rPr>
              <w:t>中标</w:t>
            </w:r>
            <w:r>
              <w:rPr>
                <w:rFonts w:hint="eastAsia" w:ascii="宋体" w:hAnsi="宋体" w:cs="Times New Roman"/>
                <w:color w:val="auto"/>
                <w:szCs w:val="21"/>
                <w:highlight w:val="none"/>
              </w:rPr>
              <w:t>人不得提出任何异议及费用要求，</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时自行考虑在</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报价中。</w:t>
            </w:r>
          </w:p>
          <w:p w14:paraId="6F1C1FA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（5）增值税计税方法由</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依据国家税法规定选择：一般计税法。</w:t>
            </w:r>
          </w:p>
          <w:p w14:paraId="46B8C03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（6）风险包干的范围：包括且不限于管理费用、包装、运输、人工、设备材料等受市场或政策因素造成的上涨或下浮，生产及安装时间的分期或超期安排造成的费用增加等，除合同另有约定和</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提出变更以外的所有风险。</w:t>
            </w:r>
          </w:p>
          <w:p w14:paraId="6AFF8AE5">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szCs w:val="21"/>
                <w:highlight w:val="none"/>
              </w:rPr>
            </w:pPr>
            <w:r>
              <w:rPr>
                <w:rFonts w:hint="eastAsia" w:ascii="宋体" w:hAnsi="宋体" w:cs="Times New Roman"/>
                <w:color w:val="auto"/>
                <w:szCs w:val="21"/>
                <w:highlight w:val="none"/>
              </w:rPr>
              <w:t>（7）其他</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报价应包含的内容详见合同约定。</w:t>
            </w:r>
          </w:p>
        </w:tc>
      </w:tr>
      <w:tr w14:paraId="6AEFB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FA07AB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3.3.1</w:t>
            </w:r>
          </w:p>
        </w:tc>
        <w:tc>
          <w:tcPr>
            <w:tcW w:w="1792" w:type="dxa"/>
            <w:noWrap w:val="0"/>
            <w:vAlign w:val="center"/>
          </w:tcPr>
          <w:p w14:paraId="7A08D01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有效期</w:t>
            </w:r>
          </w:p>
        </w:tc>
        <w:tc>
          <w:tcPr>
            <w:tcW w:w="6548" w:type="dxa"/>
            <w:noWrap w:val="0"/>
            <w:vAlign w:val="center"/>
          </w:tcPr>
          <w:p w14:paraId="74A1B63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u w:val="single"/>
              </w:rPr>
              <w:t>90</w:t>
            </w:r>
            <w:r>
              <w:rPr>
                <w:rFonts w:hint="default" w:ascii="宋体" w:hAnsi="宋体" w:cs="Times New Roman"/>
                <w:color w:val="auto"/>
                <w:szCs w:val="21"/>
                <w:highlight w:val="none"/>
              </w:rPr>
              <w:t>日历天（从提交</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截止日起计算）</w:t>
            </w:r>
          </w:p>
        </w:tc>
      </w:tr>
      <w:tr w14:paraId="399FB9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44304D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3.4.1</w:t>
            </w:r>
          </w:p>
        </w:tc>
        <w:tc>
          <w:tcPr>
            <w:tcW w:w="1792" w:type="dxa"/>
            <w:noWrap w:val="0"/>
            <w:vAlign w:val="center"/>
          </w:tcPr>
          <w:p w14:paraId="467169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保证金</w:t>
            </w:r>
          </w:p>
        </w:tc>
        <w:tc>
          <w:tcPr>
            <w:tcW w:w="6548" w:type="dxa"/>
            <w:noWrap w:val="0"/>
            <w:vAlign w:val="center"/>
          </w:tcPr>
          <w:p w14:paraId="261759F8">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无</w:t>
            </w:r>
          </w:p>
        </w:tc>
      </w:tr>
      <w:tr w14:paraId="6EDE91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D822BE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.4.4</w:t>
            </w:r>
          </w:p>
        </w:tc>
        <w:tc>
          <w:tcPr>
            <w:tcW w:w="1792" w:type="dxa"/>
            <w:noWrap w:val="0"/>
            <w:vAlign w:val="center"/>
          </w:tcPr>
          <w:p w14:paraId="199569B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其他可以不予退还</w:t>
            </w: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保证金的情形</w:t>
            </w:r>
          </w:p>
        </w:tc>
        <w:tc>
          <w:tcPr>
            <w:tcW w:w="6548" w:type="dxa"/>
            <w:noWrap w:val="0"/>
            <w:vAlign w:val="center"/>
          </w:tcPr>
          <w:p w14:paraId="48659CE5">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在规定的</w:t>
            </w: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有效期内撤销其</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w:t>
            </w:r>
          </w:p>
          <w:p w14:paraId="49DCD5D5">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（2）</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人在收到</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通知书后，无正当理由不与</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订立合同，在签订合同时向</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提出附加条件，或者不按照</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文件要求提交履约保证金；</w:t>
            </w:r>
          </w:p>
          <w:p w14:paraId="630ECBF1">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）违反</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须知</w:t>
            </w:r>
            <w:r>
              <w:rPr>
                <w:rFonts w:hint="default" w:ascii="宋体" w:hAnsi="宋体" w:cs="Times New Roman"/>
                <w:color w:val="auto"/>
                <w:kern w:val="0"/>
                <w:szCs w:val="21"/>
                <w:highlight w:val="none"/>
              </w:rPr>
              <w:t>第9.2</w:t>
            </w:r>
            <w:r>
              <w:rPr>
                <w:rFonts w:hint="eastAsia" w:ascii="宋体" w:hAnsi="宋体" w:cs="Times New Roman"/>
                <w:color w:val="auto"/>
                <w:kern w:val="0"/>
                <w:szCs w:val="21"/>
                <w:highlight w:val="none"/>
              </w:rPr>
              <w:t>款</w:t>
            </w:r>
            <w:r>
              <w:rPr>
                <w:rFonts w:hint="default" w:ascii="宋体" w:hAnsi="宋体" w:cs="Times New Roman"/>
                <w:color w:val="auto"/>
                <w:kern w:val="0"/>
                <w:szCs w:val="21"/>
                <w:highlight w:val="none"/>
              </w:rPr>
              <w:t>对</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的纪律要求的；</w:t>
            </w:r>
          </w:p>
          <w:p w14:paraId="05336EE7">
            <w:pPr>
              <w:keepNext w:val="0"/>
              <w:keepLines w:val="0"/>
              <w:suppressLineNumbers w:val="0"/>
              <w:adjustRightInd w:val="0"/>
              <w:snapToGrid w:val="0"/>
              <w:spacing w:before="0" w:beforeAutospacing="0" w:after="0" w:afterAutospacing="0" w:line="360" w:lineRule="auto"/>
              <w:ind w:left="0" w:right="0" w:firstLine="420" w:firstLineChars="200"/>
              <w:jc w:val="left"/>
              <w:rPr>
                <w:rFonts w:hint="default" w:ascii="宋体" w:hAnsi="宋体" w:cs="Times New Roman"/>
                <w:color w:val="auto"/>
                <w:highlight w:val="none"/>
              </w:rPr>
            </w:pPr>
            <w:r>
              <w:rPr>
                <w:rFonts w:hint="eastAsia" w:ascii="宋体" w:hAnsi="宋体" w:cs="Times New Roman"/>
                <w:color w:val="auto"/>
                <w:kern w:val="0"/>
                <w:szCs w:val="21"/>
                <w:highlight w:val="none"/>
              </w:rPr>
              <w:t>（4）</w:t>
            </w:r>
            <w:r>
              <w:rPr>
                <w:rFonts w:hint="default" w:ascii="宋体" w:hAnsi="宋体" w:cs="Times New Roman"/>
                <w:color w:val="auto"/>
                <w:kern w:val="0"/>
                <w:szCs w:val="21"/>
                <w:highlight w:val="none"/>
              </w:rPr>
              <w:t>法律法规规定的其他情形。</w:t>
            </w:r>
          </w:p>
        </w:tc>
      </w:tr>
      <w:tr w14:paraId="492BC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931ECC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3.6.1</w:t>
            </w:r>
          </w:p>
        </w:tc>
        <w:tc>
          <w:tcPr>
            <w:tcW w:w="1792" w:type="dxa"/>
            <w:noWrap w:val="0"/>
            <w:vAlign w:val="center"/>
          </w:tcPr>
          <w:p w14:paraId="7706C33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是否允许递交</w:t>
            </w:r>
          </w:p>
          <w:p w14:paraId="29042F6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备选</w:t>
            </w:r>
            <w:r>
              <w:rPr>
                <w:rFonts w:hint="eastAsia" w:ascii="宋体" w:hAnsi="宋体" w:cs="Times New Roman"/>
                <w:color w:val="auto"/>
                <w:kern w:val="0"/>
                <w:szCs w:val="21"/>
                <w:highlight w:val="none"/>
                <w:lang w:eastAsia="zh-CN"/>
              </w:rPr>
              <w:t>投标</w:t>
            </w:r>
            <w:r>
              <w:rPr>
                <w:rFonts w:hint="default" w:ascii="宋体" w:hAnsi="宋体" w:cs="Times New Roman"/>
                <w:color w:val="auto"/>
                <w:kern w:val="0"/>
                <w:szCs w:val="21"/>
                <w:highlight w:val="none"/>
              </w:rPr>
              <w:t>方案</w:t>
            </w:r>
          </w:p>
        </w:tc>
        <w:tc>
          <w:tcPr>
            <w:tcW w:w="6548" w:type="dxa"/>
            <w:noWrap w:val="0"/>
            <w:vAlign w:val="center"/>
          </w:tcPr>
          <w:p w14:paraId="2C27A65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不允许</w:t>
            </w:r>
          </w:p>
        </w:tc>
      </w:tr>
      <w:tr w14:paraId="3C51F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2BEAF5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3.7.1</w:t>
            </w:r>
          </w:p>
        </w:tc>
        <w:tc>
          <w:tcPr>
            <w:tcW w:w="1792" w:type="dxa"/>
            <w:noWrap w:val="0"/>
            <w:vAlign w:val="center"/>
          </w:tcPr>
          <w:p w14:paraId="270ED80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格式要求</w:t>
            </w:r>
          </w:p>
        </w:tc>
        <w:tc>
          <w:tcPr>
            <w:tcW w:w="6548" w:type="dxa"/>
            <w:noWrap w:val="0"/>
            <w:vAlign w:val="center"/>
          </w:tcPr>
          <w:p w14:paraId="31FC791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编制</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时不得对第六章“</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格式”的相应要素作实质性修改，否则视为重大偏差，由评标委员会作否决处理。</w:t>
            </w:r>
          </w:p>
        </w:tc>
      </w:tr>
      <w:tr w14:paraId="4FE5CC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0FA1214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3.7.3</w:t>
            </w:r>
          </w:p>
        </w:tc>
        <w:tc>
          <w:tcPr>
            <w:tcW w:w="1792" w:type="dxa"/>
            <w:noWrap w:val="0"/>
            <w:vAlign w:val="center"/>
          </w:tcPr>
          <w:p w14:paraId="6982E49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签名</w:t>
            </w:r>
            <w:r>
              <w:rPr>
                <w:rFonts w:hint="default" w:ascii="宋体" w:hAnsi="宋体" w:cs="Times New Roman"/>
                <w:color w:val="auto"/>
                <w:kern w:val="0"/>
                <w:szCs w:val="21"/>
                <w:highlight w:val="none"/>
              </w:rPr>
              <w:t>盖章要求</w:t>
            </w:r>
          </w:p>
        </w:tc>
        <w:tc>
          <w:tcPr>
            <w:tcW w:w="6548" w:type="dxa"/>
            <w:noWrap w:val="0"/>
            <w:vAlign w:val="center"/>
          </w:tcPr>
          <w:p w14:paraId="20A1357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应用不褪色的材料书写或打印，并由</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的法定代表人或其委托代理人在</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文件规定的位置按</w:t>
            </w:r>
            <w:r>
              <w:rPr>
                <w:rFonts w:hint="eastAsia" w:ascii="宋体" w:hAnsi="宋体" w:cs="Times New Roman"/>
                <w:color w:val="auto"/>
                <w:szCs w:val="21"/>
                <w:highlight w:val="none"/>
                <w:lang w:eastAsia="zh-CN"/>
              </w:rPr>
              <w:t>招标</w:t>
            </w:r>
            <w:r>
              <w:rPr>
                <w:rFonts w:hint="eastAsia" w:ascii="宋体" w:hAnsi="宋体" w:cs="Times New Roman"/>
                <w:color w:val="auto"/>
                <w:szCs w:val="21"/>
                <w:highlight w:val="none"/>
              </w:rPr>
              <w:t>文件要求签名或盖章、盖单位公章。委托代理人签名的，</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应附法定代表人签署的授权委托书。</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应尽量避免涂改、行间插字或删除。如果出现上述情况，改动之处应加盖单位公章或由</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的法定代表人或其授权的代理人签名确认。</w:t>
            </w:r>
          </w:p>
          <w:p w14:paraId="16989F6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未按上述规定执行的，交由评标委员会作否决处理。</w:t>
            </w:r>
          </w:p>
        </w:tc>
      </w:tr>
      <w:tr w14:paraId="241676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746782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3.7.4</w:t>
            </w:r>
          </w:p>
        </w:tc>
        <w:tc>
          <w:tcPr>
            <w:tcW w:w="1792" w:type="dxa"/>
            <w:noWrap w:val="0"/>
            <w:vAlign w:val="center"/>
          </w:tcPr>
          <w:p w14:paraId="4A57A2D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pacing w:val="-6"/>
                <w:kern w:val="0"/>
                <w:szCs w:val="21"/>
                <w:highlight w:val="none"/>
              </w:rPr>
            </w:pPr>
            <w:r>
              <w:rPr>
                <w:rFonts w:hint="eastAsia" w:ascii="宋体" w:hAnsi="宋体" w:cs="Times New Roman"/>
                <w:color w:val="auto"/>
                <w:spacing w:val="-6"/>
                <w:kern w:val="0"/>
                <w:szCs w:val="21"/>
                <w:highlight w:val="none"/>
                <w:lang w:eastAsia="zh-CN"/>
              </w:rPr>
              <w:t>投标文件</w:t>
            </w:r>
            <w:r>
              <w:rPr>
                <w:rFonts w:hint="default" w:ascii="宋体" w:hAnsi="宋体" w:cs="Times New Roman"/>
                <w:color w:val="auto"/>
                <w:spacing w:val="-6"/>
                <w:kern w:val="0"/>
                <w:szCs w:val="21"/>
                <w:highlight w:val="none"/>
              </w:rPr>
              <w:t>的份数</w:t>
            </w:r>
          </w:p>
        </w:tc>
        <w:tc>
          <w:tcPr>
            <w:tcW w:w="6548" w:type="dxa"/>
            <w:noWrap w:val="0"/>
            <w:vAlign w:val="center"/>
          </w:tcPr>
          <w:p w14:paraId="59791BC1">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正本</w:t>
            </w:r>
            <w:r>
              <w:rPr>
                <w:rFonts w:hint="eastAsia" w:ascii="宋体" w:hAnsi="宋体" w:cs="Times New Roman"/>
                <w:color w:val="auto"/>
                <w:kern w:val="0"/>
                <w:szCs w:val="21"/>
                <w:highlight w:val="none"/>
              </w:rPr>
              <w:t>1份、副本</w:t>
            </w:r>
            <w:r>
              <w:rPr>
                <w:rFonts w:hint="eastAsia" w:ascii="宋体" w:hAnsi="宋体" w:cs="Times New Roman"/>
                <w:color w:val="auto"/>
                <w:kern w:val="0"/>
                <w:szCs w:val="21"/>
                <w:highlight w:val="none"/>
                <w:lang w:val="en-US" w:eastAsia="zh-CN"/>
              </w:rPr>
              <w:t>2</w:t>
            </w:r>
            <w:r>
              <w:rPr>
                <w:rFonts w:hint="eastAsia" w:ascii="宋体" w:hAnsi="宋体" w:cs="Times New Roman"/>
                <w:color w:val="auto"/>
                <w:kern w:val="0"/>
                <w:szCs w:val="21"/>
                <w:highlight w:val="none"/>
              </w:rPr>
              <w:t>份，当副本和正本不一致时，以正本为准。否则由评标委员会作否决处理。</w:t>
            </w:r>
          </w:p>
          <w:p w14:paraId="4F3F7C8E">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时还应提供电子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（U盘）1份（内容为签名盖章齐全的正本扫描件和电子文档各一份）。</w:t>
            </w:r>
          </w:p>
          <w:p w14:paraId="3893C7DA">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i/>
                <w:color w:val="auto"/>
                <w:kern w:val="0"/>
                <w:szCs w:val="21"/>
                <w:highlight w:val="none"/>
              </w:rPr>
            </w:pPr>
            <w:r>
              <w:rPr>
                <w:rFonts w:hint="eastAsia" w:ascii="宋体" w:hAnsi="宋体" w:cs="Times New Roman"/>
                <w:color w:val="auto"/>
                <w:kern w:val="0"/>
                <w:szCs w:val="21"/>
                <w:highlight w:val="none"/>
              </w:rPr>
              <w:t>注：电子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仅作存档使用，不作为评标依据；电子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与纸质版</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应当一致，当电子</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与纸质版</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不一致时，以纸质版</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为准。</w:t>
            </w:r>
          </w:p>
        </w:tc>
      </w:tr>
      <w:tr w14:paraId="1A2853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129" w:type="dxa"/>
            <w:noWrap w:val="0"/>
            <w:vAlign w:val="center"/>
          </w:tcPr>
          <w:p w14:paraId="70DDE24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3.7.5</w:t>
            </w:r>
          </w:p>
        </w:tc>
        <w:tc>
          <w:tcPr>
            <w:tcW w:w="1792" w:type="dxa"/>
            <w:noWrap w:val="0"/>
            <w:vAlign w:val="center"/>
          </w:tcPr>
          <w:p w14:paraId="6B217F0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编制</w:t>
            </w:r>
            <w:r>
              <w:rPr>
                <w:rFonts w:hint="default" w:ascii="宋体" w:hAnsi="宋体" w:cs="Times New Roman"/>
                <w:color w:val="auto"/>
                <w:kern w:val="0"/>
                <w:szCs w:val="21"/>
                <w:highlight w:val="none"/>
              </w:rPr>
              <w:t>要求</w:t>
            </w:r>
          </w:p>
        </w:tc>
        <w:tc>
          <w:tcPr>
            <w:tcW w:w="6548" w:type="dxa"/>
            <w:noWrap w:val="0"/>
            <w:vAlign w:val="center"/>
          </w:tcPr>
          <w:p w14:paraId="6531EF3F">
            <w:pPr>
              <w:keepNext w:val="0"/>
              <w:keepLines w:val="0"/>
              <w:suppressLineNumbers w:val="0"/>
              <w:adjustRightInd w:val="0"/>
              <w:snapToGrid w:val="0"/>
              <w:spacing w:before="0" w:beforeAutospacing="0" w:after="0" w:afterAutospacing="0" w:line="360" w:lineRule="auto"/>
              <w:ind w:left="0" w:right="0" w:firstLine="420" w:firstLineChars="200"/>
              <w:rPr>
                <w:rStyle w:val="58"/>
                <w:rFonts w:hint="default" w:ascii="宋体" w:hAnsi="宋体" w:cs="Times New Roman"/>
                <w:color w:val="auto"/>
                <w:highlight w:val="none"/>
              </w:rPr>
            </w:pPr>
            <w:r>
              <w:rPr>
                <w:rFonts w:hint="default" w:ascii="宋体" w:hAnsi="宋体" w:cs="Times New Roman"/>
                <w:color w:val="auto"/>
                <w:szCs w:val="21"/>
                <w:highlight w:val="none"/>
              </w:rPr>
              <w:t>应按照</w:t>
            </w:r>
            <w:r>
              <w:rPr>
                <w:rFonts w:hint="eastAsia" w:ascii="宋体" w:hAnsi="宋体" w:cs="Times New Roman"/>
                <w:color w:val="auto"/>
                <w:szCs w:val="21"/>
                <w:highlight w:val="none"/>
              </w:rPr>
              <w:t>第六章</w:t>
            </w:r>
            <w:r>
              <w:rPr>
                <w:rFonts w:hint="default" w:ascii="宋体" w:hAnsi="宋体" w:cs="Times New Roman"/>
                <w:color w:val="auto"/>
                <w:szCs w:val="21"/>
                <w:highlight w:val="none"/>
              </w:rPr>
              <w:t>规定格式</w:t>
            </w:r>
            <w:r>
              <w:rPr>
                <w:rFonts w:hint="eastAsia" w:ascii="宋体" w:hAnsi="宋体" w:cs="Times New Roman"/>
                <w:color w:val="auto"/>
                <w:szCs w:val="21"/>
                <w:highlight w:val="none"/>
              </w:rPr>
              <w:t>统一</w:t>
            </w:r>
            <w:r>
              <w:rPr>
                <w:rFonts w:hint="default" w:ascii="宋体" w:hAnsi="宋体" w:cs="Times New Roman"/>
                <w:color w:val="auto"/>
                <w:szCs w:val="21"/>
                <w:highlight w:val="none"/>
              </w:rPr>
              <w:t>装订成册，</w:t>
            </w:r>
            <w:r>
              <w:rPr>
                <w:rFonts w:hint="eastAsia" w:ascii="宋体" w:hAnsi="宋体" w:cs="Times New Roman"/>
                <w:color w:val="auto"/>
                <w:szCs w:val="21"/>
                <w:highlight w:val="none"/>
              </w:rPr>
              <w:t>原则上</w:t>
            </w:r>
            <w:r>
              <w:rPr>
                <w:rFonts w:hint="default" w:ascii="宋体" w:hAnsi="宋体" w:cs="Times New Roman"/>
                <w:color w:val="auto"/>
                <w:szCs w:val="21"/>
                <w:highlight w:val="none"/>
              </w:rPr>
              <w:t>应编制目录，标注页码</w:t>
            </w:r>
            <w:r>
              <w:rPr>
                <w:rFonts w:hint="eastAsia" w:ascii="宋体" w:hAnsi="宋体" w:cs="Times New Roman"/>
                <w:color w:val="auto"/>
                <w:szCs w:val="21"/>
                <w:highlight w:val="none"/>
              </w:rPr>
              <w:t>（但不得将目录编制、页码标注作为评审因素）</w:t>
            </w:r>
            <w:r>
              <w:rPr>
                <w:rFonts w:hint="default" w:ascii="宋体" w:hAnsi="宋体" w:cs="Times New Roman"/>
                <w:color w:val="auto"/>
                <w:szCs w:val="21"/>
                <w:highlight w:val="none"/>
              </w:rPr>
              <w:t>。</w:t>
            </w:r>
          </w:p>
        </w:tc>
      </w:tr>
      <w:tr w14:paraId="00D7F1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78253F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4.1.1</w:t>
            </w:r>
          </w:p>
        </w:tc>
        <w:tc>
          <w:tcPr>
            <w:tcW w:w="1792" w:type="dxa"/>
            <w:noWrap w:val="0"/>
            <w:vAlign w:val="center"/>
          </w:tcPr>
          <w:p w14:paraId="578E51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pacing w:val="-6"/>
                <w:kern w:val="0"/>
                <w:szCs w:val="21"/>
                <w:highlight w:val="none"/>
              </w:rPr>
            </w:pPr>
            <w:r>
              <w:rPr>
                <w:rFonts w:hint="eastAsia" w:ascii="宋体" w:hAnsi="宋体" w:cs="Times New Roman"/>
                <w:color w:val="auto"/>
                <w:spacing w:val="-6"/>
                <w:kern w:val="0"/>
                <w:szCs w:val="21"/>
                <w:highlight w:val="none"/>
                <w:lang w:eastAsia="zh-CN"/>
              </w:rPr>
              <w:t>投标文件</w:t>
            </w:r>
          </w:p>
          <w:p w14:paraId="3DDAF05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pacing w:val="-6"/>
                <w:kern w:val="0"/>
                <w:szCs w:val="21"/>
                <w:highlight w:val="none"/>
              </w:rPr>
            </w:pPr>
            <w:r>
              <w:rPr>
                <w:rFonts w:hint="eastAsia" w:ascii="宋体" w:hAnsi="宋体" w:cs="Times New Roman"/>
                <w:color w:val="auto"/>
                <w:spacing w:val="-6"/>
                <w:kern w:val="0"/>
                <w:szCs w:val="21"/>
                <w:highlight w:val="none"/>
              </w:rPr>
              <w:t>的密封</w:t>
            </w:r>
          </w:p>
        </w:tc>
        <w:tc>
          <w:tcPr>
            <w:tcW w:w="6548" w:type="dxa"/>
            <w:noWrap w:val="0"/>
            <w:vAlign w:val="center"/>
          </w:tcPr>
          <w:p w14:paraId="608D80F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1.</w:t>
            </w:r>
            <w:r>
              <w:rPr>
                <w:rFonts w:hint="eastAsia" w:ascii="宋体" w:hAnsi="宋体" w:cs="Times New Roman"/>
                <w:color w:val="auto"/>
                <w:szCs w:val="21"/>
                <w:highlight w:val="none"/>
              </w:rPr>
              <w:t xml:space="preserve"> </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和电子版（U盘）均</w:t>
            </w:r>
            <w:r>
              <w:rPr>
                <w:rFonts w:hint="default" w:ascii="宋体" w:hAnsi="宋体" w:cs="Times New Roman"/>
                <w:color w:val="auto"/>
                <w:szCs w:val="21"/>
                <w:highlight w:val="none"/>
              </w:rPr>
              <w:t>装入“</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”大袋中，密封并在大袋上加盖</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单位</w:t>
            </w:r>
            <w:r>
              <w:rPr>
                <w:rFonts w:hint="eastAsia" w:ascii="宋体" w:hAnsi="宋体" w:cs="Times New Roman"/>
                <w:color w:val="auto"/>
                <w:szCs w:val="21"/>
                <w:highlight w:val="none"/>
              </w:rPr>
              <w:t>公</w:t>
            </w:r>
            <w:r>
              <w:rPr>
                <w:rFonts w:hint="default" w:ascii="宋体" w:hAnsi="宋体" w:cs="Times New Roman"/>
                <w:color w:val="auto"/>
                <w:szCs w:val="21"/>
                <w:highlight w:val="none"/>
              </w:rPr>
              <w:t>章，同时“</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”大袋应按本表第4.1.2项的规定写明相应内容。</w:t>
            </w:r>
            <w:r>
              <w:rPr>
                <w:rFonts w:hint="eastAsia" w:ascii="宋体" w:hAnsi="宋体" w:cs="Times New Roman"/>
                <w:color w:val="auto"/>
                <w:szCs w:val="21"/>
                <w:highlight w:val="none"/>
              </w:rPr>
              <w:t>一个大袋装不下的，可使用多个大袋分册封装。大袋未按要求密封的，</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或代理机构应该拒收。</w:t>
            </w:r>
          </w:p>
        </w:tc>
      </w:tr>
      <w:tr w14:paraId="7C8FC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E4650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4.1.2</w:t>
            </w:r>
          </w:p>
        </w:tc>
        <w:tc>
          <w:tcPr>
            <w:tcW w:w="1792" w:type="dxa"/>
            <w:noWrap w:val="0"/>
            <w:vAlign w:val="center"/>
          </w:tcPr>
          <w:p w14:paraId="2AB85F1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封套上应载明的信息</w:t>
            </w:r>
          </w:p>
        </w:tc>
        <w:tc>
          <w:tcPr>
            <w:tcW w:w="6548" w:type="dxa"/>
            <w:noWrap w:val="0"/>
            <w:vAlign w:val="center"/>
          </w:tcPr>
          <w:p w14:paraId="41D90F40">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应在</w:t>
            </w:r>
            <w:r>
              <w:rPr>
                <w:rFonts w:hint="default" w:ascii="宋体" w:hAnsi="宋体" w:cs="Times New Roman"/>
                <w:color w:val="auto"/>
                <w:szCs w:val="21"/>
                <w:highlight w:val="none"/>
              </w:rPr>
              <w:t xml:space="preserve"> </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”袋封套上写明如下内容：</w:t>
            </w:r>
          </w:p>
          <w:p w14:paraId="4EEFCF67">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u w:val="single"/>
              </w:rPr>
            </w:pP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名称：</w:t>
            </w:r>
            <w:r>
              <w:rPr>
                <w:rFonts w:hint="eastAsia" w:ascii="宋体" w:hAnsi="宋体" w:cs="Times New Roman"/>
                <w:color w:val="auto"/>
                <w:kern w:val="0"/>
                <w:szCs w:val="21"/>
                <w:highlight w:val="none"/>
                <w:u w:val="single"/>
              </w:rPr>
              <w:t xml:space="preserve">                        </w:t>
            </w:r>
          </w:p>
          <w:p w14:paraId="73FBBFFB">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u w:val="single"/>
              </w:rPr>
            </w:pP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名称：</w:t>
            </w:r>
            <w:r>
              <w:rPr>
                <w:rFonts w:hint="eastAsia" w:ascii="宋体" w:hAnsi="宋体" w:cs="Times New Roman"/>
                <w:color w:val="auto"/>
                <w:kern w:val="0"/>
                <w:szCs w:val="21"/>
                <w:highlight w:val="none"/>
                <w:u w:val="single"/>
              </w:rPr>
              <w:t xml:space="preserve">                        </w:t>
            </w:r>
          </w:p>
          <w:p w14:paraId="642B64B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u w:val="single"/>
              </w:rPr>
              <w:t xml:space="preserve">                （项目名称）</w:t>
            </w:r>
            <w:r>
              <w:rPr>
                <w:rFonts w:hint="eastAsia" w:ascii="宋体" w:hAnsi="宋体" w:cs="Times New Roman"/>
                <w:color w:val="auto"/>
                <w:kern w:val="0"/>
                <w:szCs w:val="21"/>
                <w:highlight w:val="none"/>
                <w:lang w:eastAsia="zh-CN"/>
              </w:rPr>
              <w:t>投标文件</w:t>
            </w:r>
          </w:p>
          <w:p w14:paraId="3A59F6B6">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kern w:val="0"/>
                <w:szCs w:val="21"/>
                <w:highlight w:val="none"/>
              </w:rPr>
              <w:t>在</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年</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月</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日</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时</w:t>
            </w:r>
            <w:r>
              <w:rPr>
                <w:rFonts w:hint="eastAsia" w:ascii="宋体" w:hAnsi="宋体" w:cs="Times New Roman"/>
                <w:color w:val="auto"/>
                <w:kern w:val="0"/>
                <w:szCs w:val="21"/>
                <w:highlight w:val="none"/>
                <w:u w:val="single"/>
              </w:rPr>
              <w:t xml:space="preserve">    </w:t>
            </w:r>
            <w:r>
              <w:rPr>
                <w:rFonts w:hint="default" w:ascii="宋体" w:hAnsi="宋体" w:cs="Times New Roman"/>
                <w:color w:val="auto"/>
                <w:kern w:val="0"/>
                <w:szCs w:val="21"/>
                <w:highlight w:val="none"/>
              </w:rPr>
              <w:t>分前不得开启</w:t>
            </w:r>
          </w:p>
        </w:tc>
      </w:tr>
      <w:tr w14:paraId="7B9ECD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C6AD7F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4</w:t>
            </w:r>
            <w:r>
              <w:rPr>
                <w:rFonts w:hint="default" w:ascii="宋体" w:hAnsi="宋体" w:cs="Times New Roman"/>
                <w:color w:val="auto"/>
                <w:kern w:val="0"/>
                <w:szCs w:val="21"/>
                <w:highlight w:val="none"/>
              </w:rPr>
              <w:t>.2.1</w:t>
            </w:r>
          </w:p>
        </w:tc>
        <w:tc>
          <w:tcPr>
            <w:tcW w:w="1792" w:type="dxa"/>
            <w:noWrap w:val="0"/>
            <w:vAlign w:val="center"/>
          </w:tcPr>
          <w:p w14:paraId="4744A02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截止时间</w:t>
            </w:r>
          </w:p>
        </w:tc>
        <w:tc>
          <w:tcPr>
            <w:tcW w:w="6548" w:type="dxa"/>
            <w:noWrap w:val="0"/>
            <w:vAlign w:val="center"/>
          </w:tcPr>
          <w:p w14:paraId="29C5F7E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详见</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公告中规定的</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递交截止时间。</w:t>
            </w:r>
          </w:p>
        </w:tc>
      </w:tr>
      <w:tr w14:paraId="64925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34FF0F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4.2.2</w:t>
            </w:r>
          </w:p>
        </w:tc>
        <w:tc>
          <w:tcPr>
            <w:tcW w:w="1792" w:type="dxa"/>
            <w:noWrap w:val="0"/>
            <w:vAlign w:val="center"/>
          </w:tcPr>
          <w:p w14:paraId="368D28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递交</w:t>
            </w: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地点</w:t>
            </w:r>
          </w:p>
        </w:tc>
        <w:tc>
          <w:tcPr>
            <w:tcW w:w="6548" w:type="dxa"/>
            <w:noWrap w:val="0"/>
            <w:vAlign w:val="center"/>
          </w:tcPr>
          <w:p w14:paraId="0C492C7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bCs/>
                <w:color w:val="auto"/>
                <w:szCs w:val="21"/>
                <w:highlight w:val="none"/>
              </w:rPr>
            </w:pPr>
            <w:r>
              <w:rPr>
                <w:rFonts w:hint="eastAsia" w:ascii="宋体" w:hAnsi="宋体" w:cs="Times New Roman"/>
                <w:bCs/>
                <w:color w:val="auto"/>
                <w:szCs w:val="21"/>
                <w:highlight w:val="none"/>
                <w:lang w:eastAsia="zh-CN"/>
              </w:rPr>
              <w:t>投标文件</w:t>
            </w:r>
            <w:r>
              <w:rPr>
                <w:rFonts w:hint="eastAsia" w:ascii="宋体" w:hAnsi="宋体" w:cs="Times New Roman"/>
                <w:bCs/>
                <w:color w:val="auto"/>
                <w:szCs w:val="21"/>
                <w:highlight w:val="none"/>
              </w:rPr>
              <w:t>递交至：重正信伟业工程咨询管理有限公司（重庆市渝北区恒大山水城4期11栋商铺二楼）。</w:t>
            </w:r>
          </w:p>
          <w:p w14:paraId="6AF19C8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bCs/>
                <w:color w:val="auto"/>
                <w:szCs w:val="21"/>
                <w:highlight w:val="none"/>
              </w:rPr>
            </w:pPr>
            <w:r>
              <w:rPr>
                <w:rFonts w:hint="eastAsia" w:ascii="宋体" w:hAnsi="宋体" w:cs="Times New Roman"/>
                <w:bCs/>
                <w:color w:val="auto"/>
                <w:szCs w:val="21"/>
                <w:highlight w:val="none"/>
                <w:lang w:eastAsia="zh-CN"/>
              </w:rPr>
              <w:t>招标</w:t>
            </w:r>
            <w:r>
              <w:rPr>
                <w:rFonts w:hint="eastAsia" w:ascii="宋体" w:hAnsi="宋体" w:cs="Times New Roman"/>
                <w:bCs/>
                <w:color w:val="auto"/>
                <w:szCs w:val="21"/>
                <w:highlight w:val="none"/>
              </w:rPr>
              <w:t>代理机构提前30分钟接收</w:t>
            </w:r>
            <w:r>
              <w:rPr>
                <w:rFonts w:hint="eastAsia" w:ascii="宋体" w:hAnsi="宋体" w:cs="Times New Roman"/>
                <w:bCs/>
                <w:color w:val="auto"/>
                <w:szCs w:val="21"/>
                <w:highlight w:val="none"/>
                <w:lang w:eastAsia="zh-CN"/>
              </w:rPr>
              <w:t>投标文件</w:t>
            </w:r>
            <w:r>
              <w:rPr>
                <w:rFonts w:hint="eastAsia" w:ascii="宋体" w:hAnsi="宋体" w:cs="Times New Roman"/>
                <w:bCs/>
                <w:color w:val="auto"/>
                <w:szCs w:val="21"/>
                <w:highlight w:val="none"/>
              </w:rPr>
              <w:t>。</w:t>
            </w:r>
          </w:p>
        </w:tc>
      </w:tr>
      <w:tr w14:paraId="2007A7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78FABA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4.2.3</w:t>
            </w:r>
          </w:p>
        </w:tc>
        <w:tc>
          <w:tcPr>
            <w:tcW w:w="1792" w:type="dxa"/>
            <w:noWrap w:val="0"/>
            <w:vAlign w:val="center"/>
          </w:tcPr>
          <w:p w14:paraId="22C077D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投标文件</w:t>
            </w:r>
            <w:r>
              <w:rPr>
                <w:rFonts w:hint="default" w:ascii="宋体" w:hAnsi="宋体" w:cs="Times New Roman"/>
                <w:color w:val="auto"/>
                <w:kern w:val="0"/>
                <w:szCs w:val="21"/>
                <w:highlight w:val="none"/>
              </w:rPr>
              <w:t>是否退还</w:t>
            </w:r>
          </w:p>
        </w:tc>
        <w:tc>
          <w:tcPr>
            <w:tcW w:w="6548" w:type="dxa"/>
            <w:noWrap w:val="0"/>
            <w:vAlign w:val="center"/>
          </w:tcPr>
          <w:p w14:paraId="3FB7CAC1">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否</w:t>
            </w:r>
          </w:p>
        </w:tc>
      </w:tr>
      <w:tr w14:paraId="60C09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D3A98F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5.1</w:t>
            </w:r>
            <w:r>
              <w:rPr>
                <w:rFonts w:hint="eastAsia" w:ascii="宋体" w:hAnsi="宋体" w:cs="Times New Roman"/>
                <w:color w:val="auto"/>
                <w:kern w:val="0"/>
                <w:szCs w:val="21"/>
                <w:highlight w:val="none"/>
              </w:rPr>
              <w:t>.1</w:t>
            </w:r>
          </w:p>
        </w:tc>
        <w:tc>
          <w:tcPr>
            <w:tcW w:w="1792" w:type="dxa"/>
            <w:noWrap w:val="0"/>
            <w:vAlign w:val="center"/>
          </w:tcPr>
          <w:p w14:paraId="31715F5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开标时间和</w:t>
            </w:r>
          </w:p>
          <w:p w14:paraId="3E61F9D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地点</w:t>
            </w:r>
          </w:p>
        </w:tc>
        <w:tc>
          <w:tcPr>
            <w:tcW w:w="6548" w:type="dxa"/>
            <w:noWrap w:val="0"/>
            <w:vAlign w:val="center"/>
          </w:tcPr>
          <w:p w14:paraId="6192AA99">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rPr>
              <w:t>开标时间：同</w:t>
            </w:r>
            <w:r>
              <w:rPr>
                <w:rFonts w:hint="eastAsia" w:ascii="宋体" w:hAnsi="宋体" w:cs="Times New Roman"/>
                <w:color w:val="auto"/>
                <w:highlight w:val="none"/>
                <w:lang w:eastAsia="zh-CN"/>
              </w:rPr>
              <w:t>投标</w:t>
            </w:r>
            <w:r>
              <w:rPr>
                <w:rFonts w:hint="default" w:ascii="宋体" w:hAnsi="宋体" w:cs="Times New Roman"/>
                <w:color w:val="auto"/>
                <w:highlight w:val="none"/>
              </w:rPr>
              <w:t>截止时间</w:t>
            </w:r>
          </w:p>
          <w:p w14:paraId="6042BD9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default" w:ascii="宋体" w:hAnsi="宋体" w:cs="Times New Roman"/>
                <w:color w:val="auto"/>
                <w:highlight w:val="none"/>
              </w:rPr>
              <w:t>开标地点：同递交</w:t>
            </w:r>
            <w:r>
              <w:rPr>
                <w:rFonts w:hint="eastAsia" w:ascii="宋体" w:hAnsi="宋体" w:cs="Times New Roman"/>
                <w:color w:val="auto"/>
                <w:highlight w:val="none"/>
                <w:lang w:eastAsia="zh-CN"/>
              </w:rPr>
              <w:t>投标文件</w:t>
            </w:r>
            <w:r>
              <w:rPr>
                <w:rFonts w:hint="default" w:ascii="宋体" w:hAnsi="宋体" w:cs="Times New Roman"/>
                <w:color w:val="auto"/>
                <w:highlight w:val="none"/>
              </w:rPr>
              <w:t>地点</w:t>
            </w:r>
          </w:p>
        </w:tc>
      </w:tr>
      <w:tr w14:paraId="0F35AA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19F1DC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5.2</w:t>
            </w:r>
          </w:p>
        </w:tc>
        <w:tc>
          <w:tcPr>
            <w:tcW w:w="1792" w:type="dxa"/>
            <w:noWrap w:val="0"/>
            <w:vAlign w:val="center"/>
          </w:tcPr>
          <w:p w14:paraId="247E70B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开标程序</w:t>
            </w:r>
          </w:p>
        </w:tc>
        <w:tc>
          <w:tcPr>
            <w:tcW w:w="6548" w:type="dxa"/>
            <w:noWrap w:val="0"/>
            <w:vAlign w:val="center"/>
          </w:tcPr>
          <w:p w14:paraId="531C3FBE">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主持人按下列程序进行开标：</w:t>
            </w:r>
          </w:p>
          <w:p w14:paraId="1DC39AF3">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1.</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可自行选择是否参加开标会，不参加开标会的视为默认开标结果。</w:t>
            </w:r>
          </w:p>
          <w:p w14:paraId="3851FD8C">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2.</w:t>
            </w:r>
            <w:r>
              <w:rPr>
                <w:rFonts w:hint="eastAsia" w:ascii="宋体" w:hAnsi="宋体" w:cs="Times New Roman"/>
                <w:color w:val="auto"/>
                <w:szCs w:val="21"/>
                <w:highlight w:val="none"/>
              </w:rPr>
              <w:t xml:space="preserve"> </w:t>
            </w:r>
            <w:r>
              <w:rPr>
                <w:rFonts w:hint="default" w:ascii="宋体" w:hAnsi="宋体" w:cs="Times New Roman"/>
                <w:color w:val="auto"/>
                <w:szCs w:val="21"/>
                <w:highlight w:val="none"/>
              </w:rPr>
              <w:t>宣布开标纪律</w:t>
            </w:r>
            <w:r>
              <w:rPr>
                <w:rFonts w:hint="eastAsia" w:ascii="宋体" w:hAnsi="宋体" w:cs="Times New Roman"/>
                <w:color w:val="auto"/>
                <w:szCs w:val="21"/>
                <w:highlight w:val="none"/>
              </w:rPr>
              <w:t>。</w:t>
            </w:r>
          </w:p>
          <w:p w14:paraId="3B8F4AAA">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3. 宣布开标人、唱标人、记录人、监标人等有关人员姓名</w:t>
            </w:r>
            <w:r>
              <w:rPr>
                <w:rFonts w:hint="eastAsia" w:ascii="宋体" w:hAnsi="宋体" w:cs="Times New Roman"/>
                <w:color w:val="auto"/>
                <w:szCs w:val="21"/>
                <w:highlight w:val="none"/>
              </w:rPr>
              <w:t>。</w:t>
            </w:r>
          </w:p>
          <w:p w14:paraId="3ABB6609">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4. 公布在</w:t>
            </w:r>
            <w:r>
              <w:rPr>
                <w:rFonts w:hint="eastAsia" w:ascii="宋体" w:hAnsi="宋体" w:cs="Times New Roman"/>
                <w:color w:val="auto"/>
                <w:szCs w:val="21"/>
                <w:highlight w:val="none"/>
                <w:lang w:eastAsia="zh-CN"/>
              </w:rPr>
              <w:t>投标</w:t>
            </w:r>
            <w:r>
              <w:rPr>
                <w:rFonts w:hint="default" w:ascii="宋体" w:hAnsi="宋体" w:cs="Times New Roman"/>
                <w:color w:val="auto"/>
                <w:szCs w:val="21"/>
                <w:highlight w:val="none"/>
              </w:rPr>
              <w:t>截止时间前递交</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的</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名称</w:t>
            </w:r>
            <w:r>
              <w:rPr>
                <w:rFonts w:hint="eastAsia" w:ascii="宋体" w:hAnsi="宋体" w:cs="Times New Roman"/>
                <w:color w:val="auto"/>
                <w:szCs w:val="21"/>
                <w:highlight w:val="none"/>
              </w:rPr>
              <w:t>。</w:t>
            </w:r>
          </w:p>
          <w:p w14:paraId="5319B63A">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 xml:space="preserve">5. </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的密封检查：</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可对自己的</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封装情况进行检查，以确认其</w:t>
            </w:r>
            <w:r>
              <w:rPr>
                <w:rFonts w:hint="eastAsia" w:ascii="宋体" w:hAnsi="宋体" w:cs="Times New Roman"/>
                <w:color w:val="auto"/>
                <w:szCs w:val="21"/>
                <w:highlight w:val="none"/>
                <w:lang w:eastAsia="zh-CN"/>
              </w:rPr>
              <w:t>投标文件</w:t>
            </w:r>
            <w:r>
              <w:rPr>
                <w:rFonts w:hint="eastAsia" w:ascii="宋体" w:hAnsi="宋体" w:cs="Times New Roman"/>
                <w:color w:val="auto"/>
                <w:szCs w:val="21"/>
                <w:highlight w:val="none"/>
              </w:rPr>
              <w:t>密封完好。</w:t>
            </w:r>
          </w:p>
          <w:p w14:paraId="305DBBB7">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6. 汇总</w:t>
            </w:r>
            <w:r>
              <w:rPr>
                <w:rFonts w:hint="eastAsia" w:ascii="宋体" w:hAnsi="宋体" w:cs="Times New Roman"/>
                <w:color w:val="auto"/>
                <w:szCs w:val="21"/>
                <w:highlight w:val="none"/>
                <w:lang w:eastAsia="zh-CN"/>
              </w:rPr>
              <w:t>投标</w:t>
            </w:r>
            <w:r>
              <w:rPr>
                <w:rFonts w:hint="eastAsia" w:ascii="宋体" w:hAnsi="宋体" w:cs="Times New Roman"/>
                <w:color w:val="auto"/>
                <w:szCs w:val="21"/>
                <w:highlight w:val="none"/>
              </w:rPr>
              <w:t>保证金交纳情况</w:t>
            </w:r>
          </w:p>
          <w:p w14:paraId="6A7F2992">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default" w:ascii="宋体" w:hAnsi="宋体" w:cs="Times New Roman"/>
                <w:color w:val="auto"/>
                <w:szCs w:val="21"/>
                <w:highlight w:val="none"/>
              </w:rPr>
              <w:t>7. 公布最高限价</w:t>
            </w:r>
            <w:r>
              <w:rPr>
                <w:rFonts w:hint="eastAsia" w:ascii="宋体" w:hAnsi="宋体" w:cs="Times New Roman"/>
                <w:color w:val="auto"/>
                <w:szCs w:val="21"/>
                <w:highlight w:val="none"/>
              </w:rPr>
              <w:t>。</w:t>
            </w:r>
          </w:p>
          <w:p w14:paraId="348A5338">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8</w:t>
            </w:r>
            <w:r>
              <w:rPr>
                <w:rFonts w:hint="default" w:ascii="宋体" w:hAnsi="宋体" w:cs="Times New Roman"/>
                <w:color w:val="auto"/>
                <w:szCs w:val="21"/>
                <w:highlight w:val="none"/>
              </w:rPr>
              <w:t>.</w:t>
            </w:r>
            <w:r>
              <w:rPr>
                <w:rFonts w:hint="eastAsia" w:ascii="宋体" w:hAnsi="宋体" w:cs="Times New Roman"/>
                <w:color w:val="auto"/>
                <w:szCs w:val="21"/>
                <w:highlight w:val="none"/>
              </w:rPr>
              <w:t xml:space="preserve"> </w:t>
            </w:r>
            <w:r>
              <w:rPr>
                <w:rFonts w:hint="default" w:ascii="宋体" w:hAnsi="宋体" w:cs="Times New Roman"/>
                <w:color w:val="auto"/>
                <w:szCs w:val="21"/>
                <w:highlight w:val="none"/>
              </w:rPr>
              <w:t>逐单位随机开启</w:t>
            </w:r>
            <w:r>
              <w:rPr>
                <w:rFonts w:hint="eastAsia" w:ascii="宋体" w:hAnsi="宋体" w:cs="Times New Roman"/>
                <w:color w:val="auto"/>
                <w:szCs w:val="21"/>
                <w:highlight w:val="none"/>
                <w:lang w:eastAsia="zh-CN"/>
              </w:rPr>
              <w:t>投标文件</w:t>
            </w:r>
            <w:r>
              <w:rPr>
                <w:rFonts w:hint="default" w:ascii="宋体" w:hAnsi="宋体" w:cs="Times New Roman"/>
                <w:color w:val="auto"/>
                <w:szCs w:val="21"/>
                <w:highlight w:val="none"/>
              </w:rPr>
              <w:t>。公布</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名称、</w:t>
            </w:r>
            <w:r>
              <w:rPr>
                <w:rFonts w:hint="eastAsia" w:ascii="宋体" w:hAnsi="宋体" w:cs="Times New Roman"/>
                <w:color w:val="auto"/>
                <w:szCs w:val="21"/>
                <w:highlight w:val="none"/>
                <w:lang w:eastAsia="zh-CN"/>
              </w:rPr>
              <w:t>投标</w:t>
            </w:r>
            <w:r>
              <w:rPr>
                <w:rFonts w:hint="default" w:ascii="宋体" w:hAnsi="宋体" w:cs="Times New Roman"/>
                <w:color w:val="auto"/>
                <w:szCs w:val="21"/>
                <w:highlight w:val="none"/>
              </w:rPr>
              <w:t>报价及其他内容并记录在案</w:t>
            </w:r>
            <w:r>
              <w:rPr>
                <w:rFonts w:hint="eastAsia" w:ascii="宋体" w:hAnsi="宋体" w:cs="Times New Roman"/>
                <w:color w:val="auto"/>
                <w:szCs w:val="21"/>
                <w:highlight w:val="none"/>
              </w:rPr>
              <w:t>。</w:t>
            </w:r>
          </w:p>
          <w:p w14:paraId="7DDE3B20">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 xml:space="preserve">9. </w:t>
            </w:r>
            <w:r>
              <w:rPr>
                <w:rFonts w:hint="eastAsia" w:ascii="宋体" w:hAnsi="宋体" w:cs="Times New Roman"/>
                <w:color w:val="auto"/>
                <w:szCs w:val="21"/>
                <w:highlight w:val="none"/>
                <w:lang w:eastAsia="zh-CN"/>
              </w:rPr>
              <w:t>投标人</w:t>
            </w:r>
            <w:r>
              <w:rPr>
                <w:rFonts w:hint="eastAsia" w:ascii="宋体" w:hAnsi="宋体" w:cs="Times New Roman"/>
                <w:color w:val="auto"/>
                <w:szCs w:val="21"/>
                <w:highlight w:val="none"/>
              </w:rPr>
              <w:t>对开标有异议的，应当场提出，由</w:t>
            </w:r>
            <w:r>
              <w:rPr>
                <w:rFonts w:hint="eastAsia" w:ascii="宋体" w:hAnsi="宋体" w:cs="Times New Roman"/>
                <w:color w:val="auto"/>
                <w:szCs w:val="21"/>
                <w:highlight w:val="none"/>
                <w:lang w:eastAsia="zh-CN"/>
              </w:rPr>
              <w:t>招标人</w:t>
            </w:r>
            <w:r>
              <w:rPr>
                <w:rFonts w:hint="eastAsia" w:ascii="宋体" w:hAnsi="宋体" w:cs="Times New Roman"/>
                <w:color w:val="auto"/>
                <w:szCs w:val="21"/>
                <w:highlight w:val="none"/>
              </w:rPr>
              <w:t>或代理机构当场答复，并记录到开标记录表中。异议处理完毕后，汇总开标情况，打印开标记录表。</w:t>
            </w:r>
          </w:p>
          <w:p w14:paraId="721A80E4">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10</w:t>
            </w:r>
            <w:r>
              <w:rPr>
                <w:rFonts w:hint="default" w:ascii="宋体" w:hAnsi="宋体" w:cs="Times New Roman"/>
                <w:color w:val="auto"/>
                <w:szCs w:val="21"/>
                <w:highlight w:val="none"/>
              </w:rPr>
              <w:t xml:space="preserve">. </w:t>
            </w:r>
            <w:r>
              <w:rPr>
                <w:rFonts w:hint="eastAsia" w:ascii="宋体" w:hAnsi="宋体" w:cs="Times New Roman"/>
                <w:color w:val="auto"/>
                <w:szCs w:val="21"/>
                <w:highlight w:val="none"/>
                <w:lang w:eastAsia="zh-CN"/>
              </w:rPr>
              <w:t>投标人</w:t>
            </w:r>
            <w:r>
              <w:rPr>
                <w:rFonts w:hint="default" w:ascii="宋体" w:hAnsi="宋体" w:cs="Times New Roman"/>
                <w:color w:val="auto"/>
                <w:szCs w:val="21"/>
                <w:highlight w:val="none"/>
              </w:rPr>
              <w:t>代表、</w:t>
            </w:r>
            <w:r>
              <w:rPr>
                <w:rFonts w:hint="eastAsia" w:ascii="宋体" w:hAnsi="宋体" w:cs="Times New Roman"/>
                <w:color w:val="auto"/>
                <w:szCs w:val="21"/>
                <w:highlight w:val="none"/>
                <w:lang w:eastAsia="zh-CN"/>
              </w:rPr>
              <w:t>招标人</w:t>
            </w:r>
            <w:r>
              <w:rPr>
                <w:rFonts w:hint="default" w:ascii="宋体" w:hAnsi="宋体" w:cs="Times New Roman"/>
                <w:color w:val="auto"/>
                <w:szCs w:val="21"/>
                <w:highlight w:val="none"/>
              </w:rPr>
              <w:t>代表、监标人、</w:t>
            </w:r>
            <w:r>
              <w:rPr>
                <w:rFonts w:hint="eastAsia" w:ascii="宋体" w:hAnsi="宋体" w:cs="Times New Roman"/>
                <w:color w:val="auto"/>
                <w:szCs w:val="21"/>
                <w:highlight w:val="none"/>
              </w:rPr>
              <w:t>主持人、</w:t>
            </w:r>
            <w:r>
              <w:rPr>
                <w:rFonts w:hint="default" w:ascii="宋体" w:hAnsi="宋体" w:cs="Times New Roman"/>
                <w:color w:val="auto"/>
                <w:szCs w:val="21"/>
                <w:highlight w:val="none"/>
              </w:rPr>
              <w:t>记录人等有关人员在开标记录上</w:t>
            </w:r>
            <w:r>
              <w:rPr>
                <w:rFonts w:hint="eastAsia" w:ascii="宋体" w:hAnsi="宋体" w:cs="Times New Roman"/>
                <w:color w:val="auto"/>
                <w:szCs w:val="21"/>
                <w:highlight w:val="none"/>
              </w:rPr>
              <w:t>签名</w:t>
            </w:r>
            <w:r>
              <w:rPr>
                <w:rFonts w:hint="default" w:ascii="宋体" w:hAnsi="宋体" w:cs="Times New Roman"/>
                <w:color w:val="auto"/>
                <w:szCs w:val="21"/>
                <w:highlight w:val="none"/>
              </w:rPr>
              <w:t>确认</w:t>
            </w:r>
            <w:r>
              <w:rPr>
                <w:rFonts w:hint="eastAsia" w:ascii="宋体" w:hAnsi="宋体" w:cs="Times New Roman"/>
                <w:color w:val="auto"/>
                <w:szCs w:val="21"/>
                <w:highlight w:val="none"/>
              </w:rPr>
              <w:t>。因其他原因未能签名的，视为默认开标结果。</w:t>
            </w:r>
          </w:p>
          <w:p w14:paraId="125C0FA0">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zCs w:val="21"/>
                <w:highlight w:val="none"/>
              </w:rPr>
            </w:pPr>
            <w:r>
              <w:rPr>
                <w:rFonts w:hint="eastAsia" w:ascii="宋体" w:hAnsi="宋体" w:cs="Times New Roman"/>
                <w:color w:val="auto"/>
                <w:szCs w:val="21"/>
                <w:highlight w:val="none"/>
              </w:rPr>
              <w:t>11.</w:t>
            </w:r>
            <w:r>
              <w:rPr>
                <w:rFonts w:hint="default" w:ascii="宋体" w:hAnsi="宋体" w:cs="Times New Roman"/>
                <w:color w:val="auto"/>
                <w:szCs w:val="21"/>
                <w:highlight w:val="none"/>
              </w:rPr>
              <w:t xml:space="preserve"> 开标结束。</w:t>
            </w:r>
          </w:p>
        </w:tc>
      </w:tr>
      <w:tr w14:paraId="7B358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BCCF76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6.1.1</w:t>
            </w:r>
          </w:p>
        </w:tc>
        <w:tc>
          <w:tcPr>
            <w:tcW w:w="1792" w:type="dxa"/>
            <w:noWrap w:val="0"/>
            <w:vAlign w:val="center"/>
          </w:tcPr>
          <w:p w14:paraId="4BD196D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评标委员会的组建</w:t>
            </w:r>
          </w:p>
        </w:tc>
        <w:tc>
          <w:tcPr>
            <w:tcW w:w="6548" w:type="dxa"/>
            <w:noWrap w:val="0"/>
            <w:vAlign w:val="center"/>
          </w:tcPr>
          <w:p w14:paraId="0246172E">
            <w:pPr>
              <w:keepNext w:val="0"/>
              <w:keepLines w:val="0"/>
              <w:suppressLineNumbers w:val="0"/>
              <w:autoSpaceDE w:val="0"/>
              <w:autoSpaceDN w:val="0"/>
              <w:adjustRightInd w:val="0"/>
              <w:snapToGrid w:val="0"/>
              <w:spacing w:before="0" w:beforeAutospacing="0" w:after="0" w:afterAutospacing="0" w:line="360" w:lineRule="auto"/>
              <w:ind w:left="0" w:right="0" w:firstLine="436" w:firstLineChars="200"/>
              <w:rPr>
                <w:rFonts w:hint="default" w:ascii="宋体" w:hAnsi="宋体" w:cs="Times New Roman"/>
                <w:color w:val="auto"/>
                <w:kern w:val="0"/>
                <w:szCs w:val="21"/>
                <w:highlight w:val="none"/>
              </w:rPr>
            </w:pPr>
            <w:r>
              <w:rPr>
                <w:rFonts w:hint="eastAsia" w:ascii="宋体" w:hAnsi="宋体" w:cs="Times New Roman"/>
                <w:color w:val="auto"/>
                <w:spacing w:val="4"/>
                <w:kern w:val="0"/>
                <w:szCs w:val="21"/>
                <w:highlight w:val="none"/>
              </w:rPr>
              <w:t>由</w:t>
            </w:r>
            <w:r>
              <w:rPr>
                <w:rFonts w:hint="eastAsia" w:ascii="宋体" w:hAnsi="宋体" w:cs="Times New Roman"/>
                <w:color w:val="auto"/>
                <w:spacing w:val="4"/>
                <w:kern w:val="0"/>
                <w:szCs w:val="21"/>
                <w:highlight w:val="none"/>
                <w:lang w:eastAsia="zh-CN"/>
              </w:rPr>
              <w:t>招标人</w:t>
            </w:r>
            <w:r>
              <w:rPr>
                <w:rFonts w:hint="eastAsia" w:ascii="宋体" w:hAnsi="宋体" w:cs="Times New Roman"/>
                <w:color w:val="auto"/>
                <w:spacing w:val="4"/>
                <w:kern w:val="0"/>
                <w:szCs w:val="21"/>
                <w:highlight w:val="none"/>
              </w:rPr>
              <w:t>按法律法规及相关规定依法组建评标委员会</w:t>
            </w:r>
            <w:r>
              <w:rPr>
                <w:rFonts w:hint="eastAsia" w:ascii="宋体" w:hAnsi="宋体" w:cs="Times New Roman"/>
                <w:color w:val="auto"/>
                <w:kern w:val="0"/>
                <w:szCs w:val="21"/>
                <w:highlight w:val="none"/>
              </w:rPr>
              <w:t>。</w:t>
            </w:r>
          </w:p>
        </w:tc>
      </w:tr>
      <w:tr w14:paraId="065A4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27FD42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6</w:t>
            </w:r>
            <w:r>
              <w:rPr>
                <w:rFonts w:hint="default" w:ascii="宋体" w:hAnsi="宋体" w:cs="Times New Roman"/>
                <w:color w:val="auto"/>
                <w:kern w:val="0"/>
                <w:szCs w:val="21"/>
                <w:highlight w:val="none"/>
              </w:rPr>
              <w:t>.3.2</w:t>
            </w:r>
          </w:p>
        </w:tc>
        <w:tc>
          <w:tcPr>
            <w:tcW w:w="1792" w:type="dxa"/>
            <w:noWrap w:val="0"/>
            <w:vAlign w:val="center"/>
          </w:tcPr>
          <w:p w14:paraId="4DA69ED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评标委员会推荐</w:t>
            </w:r>
            <w:r>
              <w:rPr>
                <w:rFonts w:hint="eastAsia" w:ascii="宋体" w:hAnsi="宋体" w:cs="Times New Roman"/>
                <w:color w:val="auto"/>
                <w:kern w:val="0"/>
                <w:szCs w:val="21"/>
                <w:highlight w:val="none"/>
                <w:lang w:eastAsia="zh-CN"/>
              </w:rPr>
              <w:t>中标</w:t>
            </w:r>
            <w:r>
              <w:rPr>
                <w:rFonts w:hint="default" w:ascii="宋体" w:hAnsi="宋体" w:cs="Times New Roman"/>
                <w:color w:val="auto"/>
                <w:kern w:val="0"/>
                <w:szCs w:val="21"/>
                <w:highlight w:val="none"/>
              </w:rPr>
              <w:t>候选人的人数</w:t>
            </w:r>
          </w:p>
        </w:tc>
        <w:tc>
          <w:tcPr>
            <w:tcW w:w="6548" w:type="dxa"/>
            <w:noWrap w:val="0"/>
            <w:vAlign w:val="center"/>
          </w:tcPr>
          <w:p w14:paraId="3C7981CB">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spacing w:val="4"/>
                <w:kern w:val="0"/>
                <w:szCs w:val="21"/>
                <w:highlight w:val="none"/>
              </w:rPr>
            </w:pPr>
            <w:r>
              <w:rPr>
                <w:rFonts w:hint="eastAsia" w:ascii="宋体" w:hAnsi="宋体" w:cs="Times New Roman"/>
                <w:color w:val="auto"/>
                <w:kern w:val="0"/>
                <w:szCs w:val="21"/>
                <w:highlight w:val="none"/>
              </w:rPr>
              <w:t>推荐经评审得分由高到低排名前三名为中标候选人</w:t>
            </w:r>
            <w:r>
              <w:rPr>
                <w:rFonts w:hint="eastAsia" w:ascii="宋体" w:hAnsi="宋体" w:cs="Times New Roman"/>
                <w:color w:val="auto"/>
                <w:kern w:val="0"/>
                <w:szCs w:val="21"/>
                <w:highlight w:val="none"/>
                <w:lang w:eastAsia="zh-CN"/>
              </w:rPr>
              <w:t>，</w:t>
            </w:r>
            <w:r>
              <w:rPr>
                <w:rFonts w:hint="eastAsia" w:ascii="宋体" w:hAnsi="宋体" w:cs="Times New Roman"/>
                <w:color w:val="auto"/>
                <w:kern w:val="0"/>
                <w:szCs w:val="21"/>
                <w:highlight w:val="none"/>
              </w:rPr>
              <w:t>若有效</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少于3个的则按实际数量推荐</w:t>
            </w:r>
            <w:r>
              <w:rPr>
                <w:rFonts w:hint="default" w:ascii="宋体" w:hAnsi="宋体" w:cs="Times New Roman"/>
                <w:color w:val="auto"/>
                <w:kern w:val="0"/>
                <w:szCs w:val="21"/>
                <w:highlight w:val="none"/>
              </w:rPr>
              <w:t>。</w:t>
            </w:r>
          </w:p>
        </w:tc>
      </w:tr>
      <w:tr w14:paraId="2CD101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1D007CF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7</w:t>
            </w:r>
            <w:r>
              <w:rPr>
                <w:rFonts w:hint="default" w:ascii="宋体" w:hAnsi="宋体" w:cs="Times New Roman"/>
                <w:color w:val="auto"/>
                <w:kern w:val="0"/>
                <w:szCs w:val="21"/>
                <w:highlight w:val="none"/>
              </w:rPr>
              <w:t>.1</w:t>
            </w:r>
          </w:p>
        </w:tc>
        <w:tc>
          <w:tcPr>
            <w:tcW w:w="1792" w:type="dxa"/>
            <w:noWrap w:val="0"/>
            <w:vAlign w:val="center"/>
          </w:tcPr>
          <w:p w14:paraId="03D2FA1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中标</w:t>
            </w:r>
            <w:r>
              <w:rPr>
                <w:rFonts w:hint="default" w:ascii="宋体" w:hAnsi="宋体" w:cs="Times New Roman"/>
                <w:color w:val="auto"/>
                <w:kern w:val="0"/>
                <w:szCs w:val="21"/>
                <w:highlight w:val="none"/>
              </w:rPr>
              <w:t>公示</w:t>
            </w:r>
          </w:p>
        </w:tc>
        <w:tc>
          <w:tcPr>
            <w:tcW w:w="6548" w:type="dxa"/>
            <w:noWrap w:val="0"/>
            <w:vAlign w:val="center"/>
          </w:tcPr>
          <w:p w14:paraId="7F2D9F2A">
            <w:pPr>
              <w:keepNext w:val="0"/>
              <w:keepLines w:val="0"/>
              <w:suppressLineNumbers w:val="0"/>
              <w:autoSpaceDE w:val="0"/>
              <w:autoSpaceDN w:val="0"/>
              <w:adjustRightInd w:val="0"/>
              <w:snapToGrid w:val="0"/>
              <w:spacing w:before="0" w:beforeAutospacing="0" w:after="0" w:afterAutospacing="0" w:line="360" w:lineRule="auto"/>
              <w:ind w:left="0" w:right="0" w:firstLine="436" w:firstLineChars="200"/>
              <w:rPr>
                <w:rFonts w:hint="default" w:ascii="宋体" w:hAnsi="宋体" w:cs="Times New Roman"/>
                <w:color w:val="auto"/>
                <w:spacing w:val="4"/>
                <w:kern w:val="0"/>
                <w:szCs w:val="21"/>
                <w:highlight w:val="none"/>
              </w:rPr>
            </w:pPr>
            <w:r>
              <w:rPr>
                <w:rFonts w:hint="eastAsia" w:ascii="宋体" w:hAnsi="宋体" w:cs="Times New Roman"/>
                <w:color w:val="auto"/>
                <w:spacing w:val="4"/>
                <w:kern w:val="0"/>
                <w:szCs w:val="21"/>
                <w:highlight w:val="none"/>
                <w:lang w:eastAsia="zh-CN"/>
              </w:rPr>
              <w:t>招标人</w:t>
            </w:r>
            <w:r>
              <w:rPr>
                <w:rFonts w:hint="eastAsia" w:ascii="宋体" w:hAnsi="宋体" w:cs="Times New Roman"/>
                <w:color w:val="auto"/>
                <w:spacing w:val="4"/>
                <w:kern w:val="0"/>
                <w:szCs w:val="21"/>
                <w:highlight w:val="none"/>
              </w:rPr>
              <w:t>在收到评标报告后3日内将评标结果在</w:t>
            </w:r>
            <w:r>
              <w:rPr>
                <w:rFonts w:hint="eastAsia" w:ascii="宋体" w:hAnsi="宋体" w:cs="Times New Roman"/>
                <w:color w:val="auto"/>
                <w:spacing w:val="4"/>
                <w:kern w:val="0"/>
                <w:szCs w:val="21"/>
                <w:highlight w:val="none"/>
                <w:u w:val="single"/>
              </w:rPr>
              <w:t>重庆</w:t>
            </w:r>
            <w:r>
              <w:rPr>
                <w:rFonts w:hint="eastAsia" w:ascii="宋体" w:hAnsi="宋体" w:cs="Times New Roman"/>
                <w:color w:val="auto"/>
                <w:spacing w:val="4"/>
                <w:kern w:val="0"/>
                <w:szCs w:val="21"/>
                <w:highlight w:val="none"/>
                <w:u w:val="single"/>
                <w:lang w:val="en-US" w:eastAsia="zh-CN"/>
              </w:rPr>
              <w:t>东城公共交通</w:t>
            </w:r>
            <w:r>
              <w:rPr>
                <w:rFonts w:hint="eastAsia" w:ascii="宋体" w:hAnsi="宋体" w:cs="Times New Roman"/>
                <w:color w:val="auto"/>
                <w:spacing w:val="4"/>
                <w:kern w:val="0"/>
                <w:szCs w:val="21"/>
                <w:highlight w:val="none"/>
                <w:u w:val="single"/>
              </w:rPr>
              <w:t>有限公司官方网站</w:t>
            </w:r>
            <w:r>
              <w:rPr>
                <w:rFonts w:hint="eastAsia" w:ascii="宋体" w:hAnsi="宋体" w:cs="Times New Roman"/>
                <w:color w:val="auto"/>
                <w:spacing w:val="4"/>
                <w:kern w:val="0"/>
                <w:szCs w:val="21"/>
                <w:highlight w:val="none"/>
              </w:rPr>
              <w:t>进行公示，公示期为3日。</w:t>
            </w:r>
          </w:p>
        </w:tc>
      </w:tr>
      <w:tr w14:paraId="2B5840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638884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7.4</w:t>
            </w:r>
          </w:p>
        </w:tc>
        <w:tc>
          <w:tcPr>
            <w:tcW w:w="1792" w:type="dxa"/>
            <w:noWrap w:val="0"/>
            <w:vAlign w:val="center"/>
          </w:tcPr>
          <w:p w14:paraId="094D78C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是否授权评标委员会确定</w:t>
            </w:r>
            <w:r>
              <w:rPr>
                <w:rFonts w:hint="eastAsia" w:ascii="宋体" w:hAnsi="宋体" w:cs="Times New Roman"/>
                <w:color w:val="auto"/>
                <w:kern w:val="0"/>
                <w:szCs w:val="21"/>
                <w:highlight w:val="none"/>
                <w:lang w:eastAsia="zh-CN"/>
              </w:rPr>
              <w:t>中标</w:t>
            </w:r>
            <w:r>
              <w:rPr>
                <w:rFonts w:hint="default" w:ascii="宋体" w:hAnsi="宋体" w:cs="Times New Roman"/>
                <w:color w:val="auto"/>
                <w:kern w:val="0"/>
                <w:szCs w:val="21"/>
                <w:highlight w:val="none"/>
              </w:rPr>
              <w:t>人</w:t>
            </w:r>
          </w:p>
        </w:tc>
        <w:tc>
          <w:tcPr>
            <w:tcW w:w="6548" w:type="dxa"/>
            <w:noWrap w:val="0"/>
            <w:vAlign w:val="center"/>
          </w:tcPr>
          <w:p w14:paraId="47D7E07D">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i/>
                <w:color w:val="auto"/>
                <w:kern w:val="0"/>
                <w:szCs w:val="21"/>
                <w:highlight w:val="none"/>
              </w:rPr>
            </w:pPr>
            <w:r>
              <w:rPr>
                <w:rFonts w:hint="default" w:ascii="宋体" w:hAnsi="宋体" w:cs="Times New Roman"/>
                <w:color w:val="auto"/>
                <w:kern w:val="0"/>
                <w:szCs w:val="21"/>
                <w:highlight w:val="none"/>
              </w:rPr>
              <w:t>否</w:t>
            </w:r>
          </w:p>
        </w:tc>
      </w:tr>
      <w:tr w14:paraId="2413E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3556B9D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7.7.1</w:t>
            </w:r>
          </w:p>
        </w:tc>
        <w:tc>
          <w:tcPr>
            <w:tcW w:w="1792" w:type="dxa"/>
            <w:noWrap w:val="0"/>
            <w:vAlign w:val="center"/>
          </w:tcPr>
          <w:p w14:paraId="03CAB02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履约保证金</w:t>
            </w:r>
          </w:p>
        </w:tc>
        <w:tc>
          <w:tcPr>
            <w:tcW w:w="6548" w:type="dxa"/>
            <w:noWrap w:val="0"/>
            <w:vAlign w:val="center"/>
          </w:tcPr>
          <w:p w14:paraId="5A2250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 xml:space="preserve">1. </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人是否提供履约保证金：</w:t>
            </w:r>
            <w:r>
              <w:rPr>
                <w:rFonts w:hint="eastAsia" w:ascii="宋体" w:hAnsi="宋体" w:cs="Times New Roman"/>
                <w:color w:val="auto"/>
                <w:kern w:val="0"/>
                <w:szCs w:val="21"/>
                <w:highlight w:val="none"/>
                <w:u w:val="single"/>
              </w:rPr>
              <w:t>提供</w:t>
            </w:r>
            <w:r>
              <w:rPr>
                <w:rFonts w:hint="eastAsia" w:ascii="宋体" w:hAnsi="宋体" w:cs="Times New Roman"/>
                <w:color w:val="auto"/>
                <w:kern w:val="0"/>
                <w:szCs w:val="21"/>
                <w:highlight w:val="none"/>
              </w:rPr>
              <w:t>。</w:t>
            </w:r>
          </w:p>
          <w:p w14:paraId="7DB493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t>2.</w:t>
            </w:r>
            <w:r>
              <w:rPr>
                <w:rFonts w:hint="eastAsia" w:ascii="Times New Roman" w:hAnsi="Times New Roman" w:cs="Times New Roman"/>
                <w:color w:val="auto"/>
                <w:highlight w:val="none"/>
              </w:rPr>
              <w:t xml:space="preserve"> </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人提供履约保证金的形式、金额及期限：</w:t>
            </w:r>
          </w:p>
          <w:p w14:paraId="0DF3815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val="en-US" w:eastAsia="zh-CN"/>
              </w:rPr>
              <w:t>（1）</w:t>
            </w:r>
            <w:r>
              <w:rPr>
                <w:rFonts w:hint="eastAsia" w:ascii="宋体" w:hAnsi="宋体" w:cs="Times New Roman"/>
                <w:color w:val="auto"/>
                <w:kern w:val="0"/>
                <w:szCs w:val="21"/>
                <w:highlight w:val="none"/>
                <w:lang w:eastAsia="zh-CN"/>
              </w:rPr>
              <w:t>担保形式：银行转账或电汇</w:t>
            </w:r>
          </w:p>
          <w:p w14:paraId="5EEF4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eastAsia="zh-CN"/>
              </w:rPr>
            </w:pPr>
            <w:r>
              <w:rPr>
                <w:rFonts w:hint="eastAsia" w:ascii="宋体" w:hAnsi="宋体" w:cs="Times New Roman"/>
                <w:color w:val="auto"/>
                <w:kern w:val="0"/>
                <w:szCs w:val="21"/>
                <w:highlight w:val="none"/>
                <w:lang w:val="en-US" w:eastAsia="zh-CN"/>
              </w:rPr>
              <w:t>（2）</w:t>
            </w:r>
            <w:r>
              <w:rPr>
                <w:rFonts w:hint="eastAsia" w:ascii="宋体" w:hAnsi="宋体" w:cs="Times New Roman"/>
                <w:color w:val="auto"/>
                <w:kern w:val="0"/>
                <w:szCs w:val="21"/>
                <w:highlight w:val="none"/>
                <w:lang w:eastAsia="zh-CN"/>
              </w:rPr>
              <w:t>担保金额：伍万元整</w:t>
            </w:r>
          </w:p>
          <w:p w14:paraId="0A74192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val="en-US" w:eastAsia="zh-CN"/>
              </w:rPr>
              <w:t>（3）</w:t>
            </w:r>
            <w:r>
              <w:rPr>
                <w:rFonts w:hint="eastAsia" w:ascii="宋体" w:hAnsi="宋体" w:cs="Times New Roman"/>
                <w:color w:val="auto"/>
                <w:kern w:val="0"/>
                <w:szCs w:val="21"/>
                <w:highlight w:val="none"/>
                <w:lang w:val="en-GB"/>
              </w:rPr>
              <w:t>履约担保提交时间：中标人应在中标通知书发出后七个工作日内提交履约担保。</w:t>
            </w:r>
            <w:r>
              <w:rPr>
                <w:rFonts w:hint="eastAsia" w:ascii="宋体" w:hAnsi="宋体" w:cs="Times New Roman"/>
                <w:color w:val="auto"/>
                <w:kern w:val="0"/>
                <w:szCs w:val="21"/>
                <w:highlight w:val="none"/>
              </w:rPr>
              <w:t>如中标人未按时递交，招标人有权变更结果。</w:t>
            </w:r>
          </w:p>
          <w:p w14:paraId="3DFE81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GB" w:eastAsia="zh-CN"/>
              </w:rPr>
            </w:pPr>
            <w:r>
              <w:rPr>
                <w:rFonts w:hint="eastAsia" w:ascii="宋体" w:hAnsi="宋体" w:cs="Times New Roman"/>
                <w:color w:val="auto"/>
                <w:kern w:val="0"/>
                <w:szCs w:val="21"/>
                <w:highlight w:val="none"/>
                <w:lang w:val="en-US" w:eastAsia="zh-CN"/>
              </w:rPr>
              <w:t>（4）</w:t>
            </w:r>
            <w:r>
              <w:rPr>
                <w:rFonts w:hint="eastAsia" w:ascii="宋体" w:hAnsi="宋体" w:cs="Times New Roman"/>
                <w:color w:val="auto"/>
                <w:kern w:val="0"/>
                <w:szCs w:val="21"/>
                <w:highlight w:val="none"/>
                <w:lang w:val="en-GB" w:eastAsia="zh-CN"/>
              </w:rPr>
              <w:t>履约担保缴纳账户信息</w:t>
            </w:r>
          </w:p>
          <w:p w14:paraId="071A2C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GB" w:eastAsia="zh-CN"/>
              </w:rPr>
            </w:pPr>
            <w:r>
              <w:rPr>
                <w:rFonts w:hint="eastAsia" w:ascii="宋体" w:hAnsi="宋体" w:cs="Times New Roman"/>
                <w:color w:val="auto"/>
                <w:kern w:val="0"/>
                <w:szCs w:val="21"/>
                <w:highlight w:val="none"/>
                <w:lang w:val="en-GB" w:eastAsia="zh-CN"/>
              </w:rPr>
              <w:t>账户名称：重庆市东城公共交通有限公司二分公司</w:t>
            </w:r>
          </w:p>
          <w:p w14:paraId="43CD0B2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GB" w:eastAsia="zh-CN"/>
              </w:rPr>
              <w:t>账    号：</w:t>
            </w:r>
            <w:r>
              <w:rPr>
                <w:rFonts w:hint="eastAsia" w:ascii="宋体" w:hAnsi="宋体" w:cs="Times New Roman"/>
                <w:color w:val="auto"/>
                <w:kern w:val="0"/>
                <w:szCs w:val="21"/>
                <w:highlight w:val="none"/>
                <w:lang w:val="en-US" w:eastAsia="zh-CN"/>
              </w:rPr>
              <w:t>91500 00030 50695 35L</w:t>
            </w:r>
          </w:p>
          <w:p w14:paraId="796816B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lang w:val="en-GB" w:eastAsia="zh-CN"/>
              </w:rPr>
            </w:pPr>
            <w:r>
              <w:rPr>
                <w:rFonts w:hint="eastAsia" w:ascii="宋体" w:hAnsi="宋体" w:cs="Times New Roman"/>
                <w:color w:val="auto"/>
                <w:kern w:val="0"/>
                <w:szCs w:val="21"/>
                <w:highlight w:val="none"/>
                <w:lang w:val="en-GB" w:eastAsia="zh-CN"/>
              </w:rPr>
              <w:t>开 户 行：工商银行重庆两路支行</w:t>
            </w:r>
          </w:p>
          <w:p w14:paraId="28097C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88" w:lineRule="auto"/>
              <w:ind w:left="0" w:right="0" w:firstLine="420" w:firstLineChars="200"/>
              <w:textAlignment w:val="auto"/>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val="en-US" w:eastAsia="zh-CN"/>
              </w:rPr>
              <w:t>（5）</w:t>
            </w:r>
            <w:r>
              <w:rPr>
                <w:rFonts w:hint="eastAsia" w:ascii="宋体" w:hAnsi="宋体" w:cs="Times New Roman"/>
                <w:color w:val="auto"/>
                <w:kern w:val="0"/>
                <w:szCs w:val="21"/>
                <w:highlight w:val="none"/>
                <w:lang w:val="en-GB" w:eastAsia="zh-CN"/>
              </w:rPr>
              <w:t>履约担保的返还：本招标项目合同终止后，自动转为质量保证金，</w:t>
            </w:r>
            <w:r>
              <w:rPr>
                <w:rFonts w:hint="eastAsia" w:ascii="宋体" w:hAnsi="宋体" w:cs="Times New Roman"/>
                <w:color w:val="auto"/>
                <w:kern w:val="0"/>
                <w:szCs w:val="21"/>
                <w:highlight w:val="none"/>
                <w:lang w:val="en-US" w:eastAsia="zh-CN"/>
              </w:rPr>
              <w:t>质保期</w:t>
            </w:r>
            <w:r>
              <w:rPr>
                <w:rFonts w:hint="eastAsia" w:ascii="宋体" w:hAnsi="宋体" w:cs="Times New Roman"/>
                <w:color w:val="auto"/>
                <w:kern w:val="0"/>
                <w:szCs w:val="21"/>
                <w:highlight w:val="none"/>
                <w:lang w:val="en-GB" w:eastAsia="zh-CN"/>
              </w:rPr>
              <w:t>满后按合同约定无息退还。</w:t>
            </w:r>
          </w:p>
        </w:tc>
      </w:tr>
      <w:tr w14:paraId="2B281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05CB45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7.</w:t>
            </w:r>
            <w:r>
              <w:rPr>
                <w:rFonts w:hint="default" w:ascii="宋体" w:hAnsi="宋体" w:cs="Times New Roman"/>
                <w:color w:val="auto"/>
                <w:kern w:val="0"/>
                <w:szCs w:val="21"/>
                <w:highlight w:val="none"/>
              </w:rPr>
              <w:t>8</w:t>
            </w:r>
            <w:r>
              <w:rPr>
                <w:rFonts w:hint="eastAsia" w:ascii="宋体" w:hAnsi="宋体" w:cs="Times New Roman"/>
                <w:color w:val="auto"/>
                <w:kern w:val="0"/>
                <w:szCs w:val="21"/>
                <w:highlight w:val="none"/>
              </w:rPr>
              <w:t>.1</w:t>
            </w:r>
          </w:p>
        </w:tc>
        <w:tc>
          <w:tcPr>
            <w:tcW w:w="1792" w:type="dxa"/>
            <w:noWrap w:val="0"/>
            <w:vAlign w:val="center"/>
          </w:tcPr>
          <w:p w14:paraId="6FCA08F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签订合同</w:t>
            </w:r>
          </w:p>
        </w:tc>
        <w:tc>
          <w:tcPr>
            <w:tcW w:w="6548" w:type="dxa"/>
            <w:noWrap w:val="0"/>
            <w:vAlign w:val="center"/>
          </w:tcPr>
          <w:p w14:paraId="09C8A46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候选人（或</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人）有《招 标投 标法实施条例》第七十四条规定行为的，视为特别严重信用不良行为且情节特别严重。</w:t>
            </w:r>
          </w:p>
          <w:p w14:paraId="44B396E4">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出现上述情形时，</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有权取消其</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（或</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候选）资格，其</w:t>
            </w: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保证金不予退还。</w:t>
            </w:r>
          </w:p>
        </w:tc>
      </w:tr>
      <w:tr w14:paraId="786F51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A5C8CF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8.1</w:t>
            </w:r>
          </w:p>
        </w:tc>
        <w:tc>
          <w:tcPr>
            <w:tcW w:w="1792" w:type="dxa"/>
            <w:noWrap w:val="0"/>
            <w:vAlign w:val="center"/>
          </w:tcPr>
          <w:p w14:paraId="703C5E9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重新</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的情形</w:t>
            </w:r>
          </w:p>
        </w:tc>
        <w:tc>
          <w:tcPr>
            <w:tcW w:w="6548" w:type="dxa"/>
            <w:noWrap w:val="0"/>
            <w:vAlign w:val="center"/>
          </w:tcPr>
          <w:p w14:paraId="20DFE2C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1.按</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须知第8.1（1）执行；</w:t>
            </w:r>
          </w:p>
          <w:p w14:paraId="046A162E">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2.按</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须知第8.1（2）执行；</w:t>
            </w:r>
          </w:p>
          <w:p w14:paraId="703EC79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snapToGrid w:val="0"/>
                <w:color w:val="auto"/>
                <w:kern w:val="0"/>
                <w:szCs w:val="21"/>
                <w:highlight w:val="none"/>
              </w:rPr>
              <w:t>3.</w:t>
            </w:r>
            <w:r>
              <w:rPr>
                <w:rFonts w:hint="default" w:ascii="宋体" w:hAnsi="宋体" w:cs="Times New Roman"/>
                <w:color w:val="auto"/>
                <w:kern w:val="0"/>
                <w:szCs w:val="21"/>
                <w:highlight w:val="none"/>
              </w:rPr>
              <w:t>按</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须知第8.1（</w:t>
            </w:r>
            <w:r>
              <w:rPr>
                <w:rFonts w:hint="eastAsia" w:ascii="宋体" w:hAnsi="宋体" w:cs="Times New Roman"/>
                <w:color w:val="auto"/>
                <w:kern w:val="0"/>
                <w:szCs w:val="21"/>
                <w:highlight w:val="none"/>
              </w:rPr>
              <w:t>3</w:t>
            </w:r>
            <w:r>
              <w:rPr>
                <w:rFonts w:hint="default" w:ascii="宋体" w:hAnsi="宋体" w:cs="Times New Roman"/>
                <w:color w:val="auto"/>
                <w:kern w:val="0"/>
                <w:szCs w:val="21"/>
                <w:highlight w:val="none"/>
              </w:rPr>
              <w:t>）执行</w:t>
            </w:r>
            <w:r>
              <w:rPr>
                <w:rFonts w:hint="eastAsia" w:ascii="宋体" w:hAnsi="宋体" w:cs="Times New Roman"/>
                <w:color w:val="auto"/>
                <w:kern w:val="0"/>
                <w:szCs w:val="21"/>
                <w:highlight w:val="none"/>
              </w:rPr>
              <w:t>；</w:t>
            </w:r>
          </w:p>
          <w:p w14:paraId="467F6616">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注：本款只适用于首次</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w:t>
            </w:r>
          </w:p>
        </w:tc>
      </w:tr>
      <w:tr w14:paraId="1D7B7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5951CD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8.2</w:t>
            </w:r>
          </w:p>
        </w:tc>
        <w:tc>
          <w:tcPr>
            <w:tcW w:w="1792" w:type="dxa"/>
            <w:noWrap w:val="0"/>
            <w:vAlign w:val="center"/>
          </w:tcPr>
          <w:p w14:paraId="562DAE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highlight w:val="none"/>
                <w:lang w:eastAsia="zh-CN"/>
              </w:rPr>
            </w:pPr>
            <w:bookmarkStart w:id="98" w:name="_Toc13210670"/>
            <w:bookmarkStart w:id="99" w:name="_Toc536628250"/>
            <w:bookmarkStart w:id="100" w:name="_Toc430530434"/>
            <w:bookmarkStart w:id="101" w:name="_Toc16930431"/>
            <w:bookmarkStart w:id="102" w:name="_Toc509218709"/>
            <w:r>
              <w:rPr>
                <w:rFonts w:hint="eastAsia" w:ascii="宋体" w:hAnsi="宋体" w:cs="Times New Roman"/>
                <w:color w:val="auto"/>
                <w:kern w:val="0"/>
                <w:szCs w:val="21"/>
                <w:highlight w:val="none"/>
              </w:rPr>
              <w:t>重新</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和不再</w:t>
            </w:r>
            <w:bookmarkEnd w:id="98"/>
            <w:bookmarkEnd w:id="99"/>
            <w:bookmarkEnd w:id="100"/>
            <w:bookmarkEnd w:id="101"/>
            <w:bookmarkEnd w:id="102"/>
            <w:r>
              <w:rPr>
                <w:rFonts w:hint="eastAsia" w:ascii="宋体" w:hAnsi="宋体" w:cs="Times New Roman"/>
                <w:color w:val="auto"/>
                <w:kern w:val="0"/>
                <w:szCs w:val="21"/>
                <w:highlight w:val="none"/>
                <w:lang w:eastAsia="zh-CN"/>
              </w:rPr>
              <w:t>招标</w:t>
            </w:r>
          </w:p>
        </w:tc>
        <w:tc>
          <w:tcPr>
            <w:tcW w:w="6548" w:type="dxa"/>
            <w:noWrap w:val="0"/>
            <w:vAlign w:val="center"/>
          </w:tcPr>
          <w:p w14:paraId="433EBC9E">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eastAsia"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经评标委员会评审后部分</w:t>
            </w:r>
            <w:r>
              <w:rPr>
                <w:rFonts w:hint="eastAsia" w:ascii="宋体" w:hAnsi="宋体" w:cs="Times New Roman"/>
                <w:snapToGrid w:val="0"/>
                <w:color w:val="auto"/>
                <w:kern w:val="0"/>
                <w:szCs w:val="21"/>
                <w:highlight w:val="none"/>
                <w:lang w:eastAsia="zh-CN"/>
              </w:rPr>
              <w:t>投标</w:t>
            </w:r>
            <w:r>
              <w:rPr>
                <w:rFonts w:hint="eastAsia" w:ascii="宋体" w:hAnsi="宋体" w:cs="Times New Roman"/>
                <w:snapToGrid w:val="0"/>
                <w:color w:val="auto"/>
                <w:kern w:val="0"/>
                <w:szCs w:val="21"/>
                <w:highlight w:val="none"/>
              </w:rPr>
              <w:t>被否决，导致有效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不足三个的，但是有效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的经济、技术等指标仍然具有市场竞争力，能够满足</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文件要求的，评标委员会应当继续评标并确定</w:t>
            </w:r>
            <w:r>
              <w:rPr>
                <w:rFonts w:hint="eastAsia" w:ascii="宋体" w:hAnsi="宋体" w:cs="Times New Roman"/>
                <w:snapToGrid w:val="0"/>
                <w:color w:val="auto"/>
                <w:kern w:val="0"/>
                <w:szCs w:val="21"/>
                <w:highlight w:val="none"/>
                <w:lang w:eastAsia="zh-CN"/>
              </w:rPr>
              <w:t>中标</w:t>
            </w:r>
            <w:r>
              <w:rPr>
                <w:rFonts w:hint="eastAsia" w:ascii="宋体" w:hAnsi="宋体" w:cs="Times New Roman"/>
                <w:snapToGrid w:val="0"/>
                <w:color w:val="auto"/>
                <w:kern w:val="0"/>
                <w:szCs w:val="21"/>
                <w:highlight w:val="none"/>
              </w:rPr>
              <w:t>候选人。</w:t>
            </w:r>
          </w:p>
          <w:p w14:paraId="6A71A06C">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snapToGrid w:val="0"/>
                <w:color w:val="auto"/>
                <w:kern w:val="0"/>
                <w:szCs w:val="21"/>
                <w:highlight w:val="none"/>
              </w:rPr>
            </w:pPr>
            <w:r>
              <w:rPr>
                <w:rFonts w:hint="eastAsia" w:ascii="宋体" w:hAnsi="宋体" w:cs="Times New Roman"/>
                <w:snapToGrid w:val="0"/>
                <w:color w:val="auto"/>
                <w:kern w:val="0"/>
                <w:szCs w:val="21"/>
                <w:highlight w:val="none"/>
              </w:rPr>
              <w:t>重新</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的</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仍然少于三个的，按照规定的程序开标和评标。重新</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经评审有有效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的，应当依法确定</w:t>
            </w:r>
            <w:r>
              <w:rPr>
                <w:rFonts w:hint="eastAsia" w:ascii="宋体" w:hAnsi="宋体" w:cs="Times New Roman"/>
                <w:snapToGrid w:val="0"/>
                <w:color w:val="auto"/>
                <w:kern w:val="0"/>
                <w:szCs w:val="21"/>
                <w:highlight w:val="none"/>
                <w:lang w:eastAsia="zh-CN"/>
              </w:rPr>
              <w:t>中标</w:t>
            </w:r>
            <w:r>
              <w:rPr>
                <w:rFonts w:hint="eastAsia" w:ascii="宋体" w:hAnsi="宋体" w:cs="Times New Roman"/>
                <w:snapToGrid w:val="0"/>
                <w:color w:val="auto"/>
                <w:kern w:val="0"/>
                <w:szCs w:val="21"/>
                <w:highlight w:val="none"/>
              </w:rPr>
              <w:t>候选人；无有效</w:t>
            </w:r>
            <w:r>
              <w:rPr>
                <w:rFonts w:hint="eastAsia" w:ascii="宋体" w:hAnsi="宋体" w:cs="Times New Roman"/>
                <w:snapToGrid w:val="0"/>
                <w:color w:val="auto"/>
                <w:kern w:val="0"/>
                <w:szCs w:val="21"/>
                <w:highlight w:val="none"/>
                <w:lang w:eastAsia="zh-CN"/>
              </w:rPr>
              <w:t>投标人</w:t>
            </w:r>
            <w:r>
              <w:rPr>
                <w:rFonts w:hint="eastAsia" w:ascii="宋体" w:hAnsi="宋体" w:cs="Times New Roman"/>
                <w:snapToGrid w:val="0"/>
                <w:color w:val="auto"/>
                <w:kern w:val="0"/>
                <w:szCs w:val="21"/>
                <w:highlight w:val="none"/>
              </w:rPr>
              <w:t>的，可以不再进行</w:t>
            </w:r>
            <w:r>
              <w:rPr>
                <w:rFonts w:hint="eastAsia" w:ascii="宋体" w:hAnsi="宋体" w:cs="Times New Roman"/>
                <w:snapToGrid w:val="0"/>
                <w:color w:val="auto"/>
                <w:kern w:val="0"/>
                <w:szCs w:val="21"/>
                <w:highlight w:val="none"/>
                <w:lang w:eastAsia="zh-CN"/>
              </w:rPr>
              <w:t>招标</w:t>
            </w:r>
            <w:r>
              <w:rPr>
                <w:rFonts w:hint="eastAsia" w:ascii="宋体" w:hAnsi="宋体" w:cs="Times New Roman"/>
                <w:snapToGrid w:val="0"/>
                <w:color w:val="auto"/>
                <w:kern w:val="0"/>
                <w:szCs w:val="21"/>
                <w:highlight w:val="none"/>
              </w:rPr>
              <w:t>，但是按照国家有关规定需要履行审批、核准、备案手续的项目，应当报原项目投资主管部门审批、核准、备案</w:t>
            </w:r>
            <w:r>
              <w:rPr>
                <w:rFonts w:hint="default" w:ascii="宋体" w:hAnsi="宋体" w:cs="Times New Roman"/>
                <w:snapToGrid w:val="0"/>
                <w:color w:val="auto"/>
                <w:kern w:val="0"/>
                <w:szCs w:val="21"/>
                <w:highlight w:val="none"/>
              </w:rPr>
              <w:t>。</w:t>
            </w:r>
          </w:p>
        </w:tc>
      </w:tr>
      <w:tr w14:paraId="5BE6A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7191A0D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10</w:t>
            </w:r>
          </w:p>
        </w:tc>
        <w:tc>
          <w:tcPr>
            <w:tcW w:w="8340" w:type="dxa"/>
            <w:gridSpan w:val="2"/>
            <w:noWrap w:val="0"/>
            <w:vAlign w:val="center"/>
          </w:tcPr>
          <w:p w14:paraId="1B36B1E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需要补充的其他内容</w:t>
            </w:r>
          </w:p>
        </w:tc>
      </w:tr>
      <w:tr w14:paraId="60473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4E70C3B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10.</w:t>
            </w:r>
            <w:r>
              <w:rPr>
                <w:rFonts w:hint="eastAsia" w:ascii="宋体" w:hAnsi="宋体" w:cs="Times New Roman"/>
                <w:color w:val="auto"/>
                <w:kern w:val="0"/>
                <w:szCs w:val="21"/>
                <w:highlight w:val="none"/>
              </w:rPr>
              <w:t>1</w:t>
            </w:r>
          </w:p>
        </w:tc>
        <w:tc>
          <w:tcPr>
            <w:tcW w:w="1792" w:type="dxa"/>
            <w:noWrap w:val="0"/>
            <w:vAlign w:val="center"/>
          </w:tcPr>
          <w:p w14:paraId="31C6CAF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异议、</w:t>
            </w:r>
            <w:r>
              <w:rPr>
                <w:rFonts w:hint="default" w:ascii="宋体" w:hAnsi="宋体" w:cs="Times New Roman"/>
                <w:color w:val="auto"/>
                <w:kern w:val="0"/>
                <w:szCs w:val="21"/>
                <w:highlight w:val="none"/>
              </w:rPr>
              <w:t>投诉处理</w:t>
            </w:r>
          </w:p>
        </w:tc>
        <w:tc>
          <w:tcPr>
            <w:tcW w:w="6548" w:type="dxa"/>
            <w:noWrap w:val="0"/>
            <w:vAlign w:val="center"/>
          </w:tcPr>
          <w:p w14:paraId="17759D61">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1.</w:t>
            </w:r>
            <w:r>
              <w:rPr>
                <w:rFonts w:hint="eastAsia" w:ascii="宋体" w:hAnsi="宋体" w:cs="Times New Roman"/>
                <w:color w:val="auto"/>
                <w:kern w:val="0"/>
                <w:szCs w:val="21"/>
                <w:highlight w:val="none"/>
              </w:rPr>
              <w:t xml:space="preserve"> </w:t>
            </w:r>
            <w:r>
              <w:rPr>
                <w:rFonts w:hint="eastAsia" w:ascii="宋体" w:hAnsi="宋体" w:cs="Times New Roman"/>
                <w:color w:val="auto"/>
                <w:kern w:val="0"/>
                <w:szCs w:val="21"/>
                <w:highlight w:val="none"/>
                <w:lang w:eastAsia="zh-CN"/>
              </w:rPr>
              <w:t>投标人</w:t>
            </w:r>
            <w:r>
              <w:rPr>
                <w:rFonts w:hint="default" w:ascii="宋体" w:hAnsi="宋体" w:cs="Times New Roman"/>
                <w:color w:val="auto"/>
                <w:kern w:val="0"/>
                <w:szCs w:val="21"/>
                <w:highlight w:val="none"/>
              </w:rPr>
              <w:t>或者其他利害关系人就本项目的</w:t>
            </w:r>
            <w:r>
              <w:rPr>
                <w:rFonts w:hint="eastAsia" w:ascii="宋体" w:hAnsi="宋体" w:cs="Times New Roman"/>
                <w:color w:val="auto"/>
                <w:kern w:val="0"/>
                <w:szCs w:val="21"/>
                <w:highlight w:val="none"/>
                <w:lang w:eastAsia="zh-CN"/>
              </w:rPr>
              <w:t>招标</w:t>
            </w:r>
            <w:r>
              <w:rPr>
                <w:rFonts w:hint="default" w:ascii="宋体" w:hAnsi="宋体" w:cs="Times New Roman"/>
                <w:color w:val="auto"/>
                <w:kern w:val="0"/>
                <w:szCs w:val="21"/>
                <w:highlight w:val="none"/>
              </w:rPr>
              <w:t>文件</w:t>
            </w:r>
            <w:r>
              <w:rPr>
                <w:rFonts w:hint="eastAsia" w:ascii="宋体" w:hAnsi="宋体" w:cs="Times New Roman"/>
                <w:color w:val="auto"/>
                <w:kern w:val="0"/>
                <w:szCs w:val="21"/>
                <w:highlight w:val="none"/>
              </w:rPr>
              <w:t>（含澄清修改）、开标情况、</w:t>
            </w:r>
            <w:r>
              <w:rPr>
                <w:rFonts w:hint="default" w:ascii="宋体" w:hAnsi="宋体" w:cs="Times New Roman"/>
                <w:color w:val="auto"/>
                <w:kern w:val="0"/>
                <w:szCs w:val="21"/>
                <w:highlight w:val="none"/>
              </w:rPr>
              <w:t>评标结果等事项提出投诉</w:t>
            </w:r>
            <w:r>
              <w:rPr>
                <w:rFonts w:hint="eastAsia" w:ascii="宋体" w:hAnsi="宋体" w:cs="Times New Roman"/>
                <w:color w:val="auto"/>
                <w:kern w:val="0"/>
                <w:szCs w:val="21"/>
                <w:highlight w:val="none"/>
              </w:rPr>
              <w:t>的</w:t>
            </w:r>
            <w:r>
              <w:rPr>
                <w:rFonts w:hint="default" w:ascii="宋体" w:hAnsi="宋体" w:cs="Times New Roman"/>
                <w:color w:val="auto"/>
                <w:kern w:val="0"/>
                <w:szCs w:val="21"/>
                <w:highlight w:val="none"/>
              </w:rPr>
              <w:t>，应当先向</w:t>
            </w: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提出异议；</w:t>
            </w: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应当在规定时间内答复；对</w:t>
            </w:r>
            <w:r>
              <w:rPr>
                <w:rFonts w:hint="eastAsia" w:ascii="宋体" w:hAnsi="宋体" w:cs="Times New Roman"/>
                <w:color w:val="auto"/>
                <w:kern w:val="0"/>
                <w:szCs w:val="21"/>
                <w:highlight w:val="none"/>
                <w:lang w:eastAsia="zh-CN"/>
              </w:rPr>
              <w:t>招标人</w:t>
            </w:r>
            <w:r>
              <w:rPr>
                <w:rFonts w:hint="default" w:ascii="宋体" w:hAnsi="宋体" w:cs="Times New Roman"/>
                <w:color w:val="auto"/>
                <w:kern w:val="0"/>
                <w:szCs w:val="21"/>
                <w:highlight w:val="none"/>
              </w:rPr>
              <w:t>的答复不满意，可向</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有关</w:t>
            </w:r>
            <w:r>
              <w:rPr>
                <w:rFonts w:hint="default" w:ascii="宋体" w:hAnsi="宋体" w:cs="Times New Roman"/>
                <w:color w:val="auto"/>
                <w:kern w:val="0"/>
                <w:szCs w:val="21"/>
                <w:highlight w:val="none"/>
              </w:rPr>
              <w:t>监督部门投诉。</w:t>
            </w:r>
          </w:p>
          <w:p w14:paraId="26634A74">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提出异议或投诉时应当包括下列内容：</w:t>
            </w:r>
          </w:p>
          <w:p w14:paraId="09AF0EDF">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（1）异议人或投诉人的名称、地址及有效联系方式；</w:t>
            </w:r>
          </w:p>
          <w:p w14:paraId="7B19A7E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（2）被异议人或被投诉人的名称、地址及有效联系方式；</w:t>
            </w:r>
          </w:p>
          <w:p w14:paraId="10C38C89">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（3）异议或投诉事项的基本事实；</w:t>
            </w:r>
          </w:p>
          <w:p w14:paraId="68E791E9">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（4）请求及主张；</w:t>
            </w:r>
          </w:p>
          <w:p w14:paraId="357656C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（5）涉及事项的证据、证明材料。</w:t>
            </w:r>
          </w:p>
          <w:p w14:paraId="6AD6B407">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宋体"/>
                <w:color w:val="auto"/>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7EDD684E">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default" w:ascii="宋体" w:hAnsi="宋体" w:cs="Times New Roman"/>
                <w:color w:val="auto"/>
                <w:kern w:val="0"/>
                <w:szCs w:val="21"/>
                <w:highlight w:val="none"/>
              </w:rPr>
              <w:t>2.</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监督部门</w:t>
            </w:r>
            <w:r>
              <w:rPr>
                <w:rFonts w:hint="eastAsia" w:ascii="宋体" w:hAnsi="宋体" w:cs="Times New Roman"/>
                <w:color w:val="auto"/>
                <w:kern w:val="0"/>
                <w:szCs w:val="21"/>
                <w:highlight w:val="none"/>
              </w:rPr>
              <w:t>参照</w:t>
            </w:r>
            <w:r>
              <w:rPr>
                <w:rFonts w:hint="default" w:ascii="宋体" w:hAnsi="宋体" w:cs="Times New Roman"/>
                <w:color w:val="auto"/>
                <w:kern w:val="0"/>
                <w:szCs w:val="21"/>
                <w:highlight w:val="none"/>
              </w:rPr>
              <w:t>《</w:t>
            </w:r>
            <w:r>
              <w:rPr>
                <w:rFonts w:hint="eastAsia" w:ascii="宋体" w:hAnsi="宋体" w:cs="Times New Roman"/>
                <w:color w:val="auto"/>
                <w:kern w:val="0"/>
                <w:szCs w:val="21"/>
                <w:highlight w:val="none"/>
              </w:rPr>
              <w:t>中华人民共和国</w:t>
            </w:r>
            <w:r>
              <w:rPr>
                <w:rFonts w:hint="default" w:ascii="宋体" w:hAnsi="宋体" w:cs="Times New Roman"/>
                <w:color w:val="auto"/>
                <w:kern w:val="0"/>
                <w:szCs w:val="21"/>
                <w:highlight w:val="none"/>
              </w:rPr>
              <w:t>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标法》、《</w:t>
            </w:r>
            <w:r>
              <w:rPr>
                <w:rFonts w:hint="eastAsia" w:ascii="宋体" w:hAnsi="宋体" w:cs="Times New Roman"/>
                <w:color w:val="auto"/>
                <w:kern w:val="0"/>
                <w:szCs w:val="21"/>
                <w:highlight w:val="none"/>
              </w:rPr>
              <w:t>中华人民共和国</w:t>
            </w:r>
            <w:r>
              <w:rPr>
                <w:rFonts w:hint="default" w:ascii="宋体" w:hAnsi="宋体" w:cs="Times New Roman"/>
                <w:color w:val="auto"/>
                <w:kern w:val="0"/>
                <w:szCs w:val="21"/>
                <w:highlight w:val="none"/>
              </w:rPr>
              <w:t>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标法实施条例》、《重庆市招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标条例》、《工程建设项目招</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标投</w:t>
            </w:r>
            <w:r>
              <w:rPr>
                <w:rFonts w:hint="eastAsia" w:ascii="宋体" w:hAnsi="宋体" w:cs="Times New Roman"/>
                <w:color w:val="auto"/>
                <w:kern w:val="0"/>
                <w:szCs w:val="21"/>
                <w:highlight w:val="none"/>
              </w:rPr>
              <w:t xml:space="preserve"> </w:t>
            </w:r>
            <w:r>
              <w:rPr>
                <w:rFonts w:hint="default" w:ascii="宋体" w:hAnsi="宋体" w:cs="Times New Roman"/>
                <w:color w:val="auto"/>
                <w:kern w:val="0"/>
                <w:szCs w:val="21"/>
                <w:highlight w:val="none"/>
              </w:rPr>
              <w:t>标活动投诉处理办法》（七部委令第11号（根据九部门2013年第23号令修正））、</w:t>
            </w:r>
            <w:r>
              <w:rPr>
                <w:rFonts w:hint="eastAsia" w:ascii="宋体" w:hAnsi="宋体" w:cs="Times New Roman"/>
                <w:color w:val="auto"/>
                <w:kern w:val="0"/>
                <w:szCs w:val="21"/>
                <w:highlight w:val="none"/>
              </w:rPr>
              <w:t>《关于印发&lt;重庆市招 标投 标活动投诉处理实施细则（修订）&gt;的通知》（渝公管发〔2021〕54号）</w:t>
            </w:r>
            <w:r>
              <w:rPr>
                <w:rFonts w:hint="default" w:ascii="宋体" w:hAnsi="宋体" w:cs="Times New Roman"/>
                <w:color w:val="auto"/>
                <w:kern w:val="0"/>
                <w:szCs w:val="21"/>
                <w:highlight w:val="none"/>
              </w:rPr>
              <w:t>等法律法规文件处理投诉。</w:t>
            </w:r>
          </w:p>
          <w:p w14:paraId="078263EA">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3. 根据《重庆市工程建设领域招 标投 标信用管理暂行办法》的规定，</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捏造事实、伪造材料，或者以非法手段获取证明材料进行质疑或者投诉的，将被列入黑名单管理；</w:t>
            </w:r>
            <w:r>
              <w:rPr>
                <w:rFonts w:hint="default" w:ascii="宋体" w:hAnsi="宋体" w:cs="Times New Roman"/>
                <w:color w:val="auto"/>
                <w:kern w:val="0"/>
                <w:szCs w:val="21"/>
                <w:highlight w:val="none"/>
              </w:rPr>
              <w:t>给他人造成损失的，依法承担赔偿责任。</w:t>
            </w:r>
          </w:p>
        </w:tc>
      </w:tr>
      <w:tr w14:paraId="53B6B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53C55FF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10.2</w:t>
            </w:r>
          </w:p>
        </w:tc>
        <w:tc>
          <w:tcPr>
            <w:tcW w:w="1792" w:type="dxa"/>
            <w:noWrap w:val="0"/>
            <w:vAlign w:val="center"/>
          </w:tcPr>
          <w:p w14:paraId="31772209">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关于对</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文件及</w:t>
            </w:r>
            <w:r>
              <w:rPr>
                <w:rFonts w:hint="eastAsia" w:ascii="宋体" w:hAnsi="宋体" w:cs="Times New Roman"/>
                <w:color w:val="auto"/>
                <w:kern w:val="0"/>
                <w:szCs w:val="21"/>
                <w:highlight w:val="none"/>
                <w:lang w:eastAsia="zh-CN"/>
              </w:rPr>
              <w:t>投标</w:t>
            </w:r>
            <w:r>
              <w:rPr>
                <w:rFonts w:hint="eastAsia" w:ascii="宋体" w:hAnsi="宋体" w:cs="Times New Roman"/>
                <w:color w:val="auto"/>
                <w:kern w:val="0"/>
                <w:szCs w:val="21"/>
                <w:highlight w:val="none"/>
              </w:rPr>
              <w:t>争议的解释</w:t>
            </w:r>
          </w:p>
        </w:tc>
        <w:tc>
          <w:tcPr>
            <w:tcW w:w="6548" w:type="dxa"/>
            <w:noWrap w:val="0"/>
            <w:vAlign w:val="center"/>
          </w:tcPr>
          <w:p w14:paraId="517BCEE8">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对资格预审文件或者</w:t>
            </w:r>
            <w:r>
              <w:rPr>
                <w:rFonts w:hint="eastAsia" w:ascii="宋体" w:hAnsi="宋体" w:cs="Times New Roman"/>
                <w:color w:val="auto"/>
                <w:kern w:val="0"/>
                <w:szCs w:val="21"/>
                <w:highlight w:val="none"/>
                <w:lang w:eastAsia="zh-CN"/>
              </w:rPr>
              <w:t>招标</w:t>
            </w:r>
            <w:r>
              <w:rPr>
                <w:rFonts w:hint="eastAsia" w:ascii="宋体" w:hAnsi="宋体" w:cs="Times New Roman"/>
                <w:color w:val="auto"/>
                <w:kern w:val="0"/>
                <w:szCs w:val="21"/>
                <w:highlight w:val="none"/>
              </w:rPr>
              <w:t>文件的评标标准和方法，以及资格审查和否决条款理解有争议的，应当作出不利于</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的解释，但违背国家利益、社会公共利益的除外。</w:t>
            </w:r>
          </w:p>
          <w:p w14:paraId="0061CC26">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对</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理解有争议的，应当作出不利于提交该</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的</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的解释。</w:t>
            </w:r>
          </w:p>
        </w:tc>
      </w:tr>
      <w:tr w14:paraId="24C22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CFCB05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color w:val="auto"/>
                <w:kern w:val="0"/>
                <w:szCs w:val="21"/>
                <w:highlight w:val="none"/>
              </w:rPr>
              <w:t>10.</w:t>
            </w:r>
            <w:r>
              <w:rPr>
                <w:rFonts w:hint="eastAsia" w:ascii="宋体" w:hAnsi="宋体" w:cs="Times New Roman"/>
                <w:color w:val="auto"/>
                <w:kern w:val="0"/>
                <w:szCs w:val="21"/>
                <w:highlight w:val="none"/>
                <w:lang w:val="en-US" w:eastAsia="zh-CN"/>
              </w:rPr>
              <w:t>3</w:t>
            </w:r>
          </w:p>
        </w:tc>
        <w:tc>
          <w:tcPr>
            <w:tcW w:w="1792" w:type="dxa"/>
            <w:noWrap w:val="0"/>
            <w:vAlign w:val="center"/>
          </w:tcPr>
          <w:p w14:paraId="4E03D52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b/>
                <w:bCs/>
                <w:color w:val="auto"/>
                <w:kern w:val="0"/>
                <w:szCs w:val="21"/>
                <w:highlight w:val="none"/>
                <w:lang w:eastAsia="zh-CN"/>
              </w:rPr>
              <w:t>特别提示</w:t>
            </w:r>
          </w:p>
        </w:tc>
        <w:tc>
          <w:tcPr>
            <w:tcW w:w="6548" w:type="dxa"/>
            <w:noWrap w:val="0"/>
            <w:vAlign w:val="center"/>
          </w:tcPr>
          <w:p w14:paraId="6146508E">
            <w:pPr>
              <w:keepNext w:val="0"/>
              <w:keepLines w:val="0"/>
              <w:suppressLineNumbers w:val="0"/>
              <w:autoSpaceDE w:val="0"/>
              <w:autoSpaceDN w:val="0"/>
              <w:adjustRightInd w:val="0"/>
              <w:snapToGrid w:val="0"/>
              <w:spacing w:before="0" w:beforeAutospacing="0" w:after="0" w:afterAutospacing="0" w:line="360" w:lineRule="auto"/>
              <w:ind w:left="0" w:right="0" w:firstLine="422" w:firstLineChars="200"/>
              <w:rPr>
                <w:rFonts w:hint="eastAsia" w:ascii="宋体" w:hAnsi="宋体" w:cs="Times New Roman"/>
                <w:color w:val="auto"/>
                <w:kern w:val="0"/>
                <w:szCs w:val="21"/>
                <w:highlight w:val="none"/>
              </w:rPr>
            </w:pPr>
            <w:r>
              <w:rPr>
                <w:rFonts w:hint="eastAsia" w:ascii="宋体" w:hAnsi="宋体" w:cs="Times New Roman"/>
                <w:b/>
                <w:bCs/>
                <w:color w:val="auto"/>
                <w:kern w:val="0"/>
                <w:szCs w:val="21"/>
                <w:highlight w:val="none"/>
                <w:lang w:eastAsia="zh-CN"/>
              </w:rPr>
              <w:t>投标人需按照产品明细表要求的数量投标，不能多于或低于产品明细表的数量，投标人只能选择一个品牌报价，并每个轮胎型号只能报一次价格。</w:t>
            </w:r>
          </w:p>
        </w:tc>
      </w:tr>
      <w:tr w14:paraId="4BC7F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noWrap w:val="0"/>
            <w:vAlign w:val="center"/>
          </w:tcPr>
          <w:p w14:paraId="6BE9E9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szCs w:val="21"/>
                <w:highlight w:val="none"/>
                <w:lang w:eastAsia="zh-CN"/>
              </w:rPr>
            </w:pPr>
            <w:r>
              <w:rPr>
                <w:rFonts w:hint="eastAsia" w:ascii="宋体" w:hAnsi="宋体" w:cs="Times New Roman"/>
                <w:color w:val="auto"/>
                <w:kern w:val="0"/>
                <w:szCs w:val="21"/>
                <w:highlight w:val="none"/>
              </w:rPr>
              <w:t>10.</w:t>
            </w:r>
            <w:r>
              <w:rPr>
                <w:rFonts w:hint="eastAsia" w:ascii="宋体" w:hAnsi="宋体" w:cs="Times New Roman"/>
                <w:color w:val="auto"/>
                <w:kern w:val="0"/>
                <w:szCs w:val="21"/>
                <w:highlight w:val="none"/>
                <w:lang w:val="en-US" w:eastAsia="zh-CN"/>
              </w:rPr>
              <w:t>4</w:t>
            </w:r>
          </w:p>
        </w:tc>
        <w:tc>
          <w:tcPr>
            <w:tcW w:w="1792" w:type="dxa"/>
            <w:noWrap w:val="0"/>
            <w:vAlign w:val="center"/>
          </w:tcPr>
          <w:p w14:paraId="1D80A86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kern w:val="0"/>
                <w:szCs w:val="21"/>
                <w:highlight w:val="none"/>
              </w:rPr>
            </w:pPr>
            <w:r>
              <w:rPr>
                <w:rFonts w:hint="eastAsia" w:ascii="宋体" w:hAnsi="宋体" w:cs="Times New Roman"/>
                <w:color w:val="auto"/>
                <w:kern w:val="0"/>
                <w:szCs w:val="21"/>
                <w:highlight w:val="none"/>
              </w:rPr>
              <w:t>代理服务费</w:t>
            </w:r>
          </w:p>
        </w:tc>
        <w:tc>
          <w:tcPr>
            <w:tcW w:w="6548" w:type="dxa"/>
            <w:noWrap w:val="0"/>
            <w:vAlign w:val="center"/>
          </w:tcPr>
          <w:p w14:paraId="41FE17A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highlight w:val="none"/>
              </w:rPr>
            </w:pPr>
            <w:r>
              <w:rPr>
                <w:rFonts w:hint="eastAsia" w:ascii="宋体" w:hAnsi="宋体" w:cs="Times New Roman"/>
                <w:color w:val="auto"/>
                <w:kern w:val="0"/>
                <w:szCs w:val="21"/>
                <w:highlight w:val="none"/>
              </w:rPr>
              <w:t>本项目代理服务费为人民币</w:t>
            </w:r>
            <w:r>
              <w:rPr>
                <w:rFonts w:hint="eastAsia" w:ascii="宋体" w:hAnsi="宋体" w:cs="Times New Roman"/>
                <w:color w:val="auto"/>
                <w:kern w:val="0"/>
                <w:szCs w:val="21"/>
                <w:highlight w:val="none"/>
                <w:lang w:val="en-US" w:eastAsia="zh-CN"/>
              </w:rPr>
              <w:t>壹</w:t>
            </w:r>
            <w:r>
              <w:rPr>
                <w:rFonts w:hint="eastAsia" w:ascii="宋体" w:hAnsi="宋体" w:cs="Times New Roman"/>
                <w:color w:val="auto"/>
                <w:kern w:val="0"/>
                <w:szCs w:val="21"/>
                <w:highlight w:val="none"/>
              </w:rPr>
              <w:t>万元整，由</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人在领取</w:t>
            </w:r>
            <w:r>
              <w:rPr>
                <w:rFonts w:hint="eastAsia" w:ascii="宋体" w:hAnsi="宋体" w:cs="Times New Roman"/>
                <w:color w:val="auto"/>
                <w:kern w:val="0"/>
                <w:szCs w:val="21"/>
                <w:highlight w:val="none"/>
                <w:lang w:eastAsia="zh-CN"/>
              </w:rPr>
              <w:t>中标</w:t>
            </w:r>
            <w:r>
              <w:rPr>
                <w:rFonts w:hint="eastAsia" w:ascii="宋体" w:hAnsi="宋体" w:cs="Times New Roman"/>
                <w:color w:val="auto"/>
                <w:kern w:val="0"/>
                <w:szCs w:val="21"/>
                <w:highlight w:val="none"/>
              </w:rPr>
              <w:t>通知书时一次性向代理机构支付，</w:t>
            </w:r>
            <w:r>
              <w:rPr>
                <w:rFonts w:hint="eastAsia" w:ascii="宋体" w:hAnsi="宋体" w:cs="Times New Roman"/>
                <w:color w:val="auto"/>
                <w:kern w:val="0"/>
                <w:szCs w:val="21"/>
                <w:highlight w:val="none"/>
                <w:lang w:eastAsia="zh-CN"/>
              </w:rPr>
              <w:t>招标人</w:t>
            </w:r>
            <w:r>
              <w:rPr>
                <w:rFonts w:hint="eastAsia" w:ascii="宋体" w:hAnsi="宋体" w:cs="Times New Roman"/>
                <w:color w:val="auto"/>
                <w:kern w:val="0"/>
                <w:szCs w:val="21"/>
                <w:highlight w:val="none"/>
              </w:rPr>
              <w:t>不再另行支付。</w:t>
            </w:r>
          </w:p>
        </w:tc>
      </w:tr>
    </w:tbl>
    <w:p w14:paraId="24250B96">
      <w:pPr>
        <w:pStyle w:val="4"/>
        <w:adjustRightInd w:val="0"/>
        <w:snapToGrid w:val="0"/>
        <w:spacing w:before="0" w:after="0" w:line="360" w:lineRule="auto"/>
        <w:rPr>
          <w:rFonts w:ascii="宋体" w:hAnsi="宋体"/>
          <w:b w:val="0"/>
          <w:snapToGrid w:val="0"/>
          <w:color w:val="auto"/>
          <w:highlight w:val="none"/>
        </w:rPr>
      </w:pPr>
    </w:p>
    <w:p w14:paraId="59DCBEAF">
      <w:pPr>
        <w:pStyle w:val="4"/>
        <w:adjustRightInd w:val="0"/>
        <w:snapToGrid w:val="0"/>
        <w:spacing w:before="0" w:after="0" w:line="360" w:lineRule="auto"/>
        <w:rPr>
          <w:rFonts w:ascii="宋体" w:hAnsi="宋体"/>
          <w:b w:val="0"/>
          <w:snapToGrid w:val="0"/>
          <w:color w:val="auto"/>
          <w:highlight w:val="none"/>
        </w:rPr>
      </w:pPr>
      <w:r>
        <w:rPr>
          <w:rFonts w:ascii="宋体" w:hAnsi="宋体"/>
          <w:b w:val="0"/>
          <w:snapToGrid w:val="0"/>
          <w:color w:val="auto"/>
          <w:highlight w:val="none"/>
        </w:rPr>
        <w:br w:type="page"/>
      </w:r>
      <w:bookmarkStart w:id="103" w:name="_Toc177985657"/>
      <w:r>
        <w:rPr>
          <w:rFonts w:ascii="宋体" w:hAnsi="宋体"/>
          <w:b w:val="0"/>
          <w:snapToGrid w:val="0"/>
          <w:color w:val="auto"/>
          <w:highlight w:val="none"/>
        </w:rPr>
        <w:t>1.  总则</w:t>
      </w:r>
      <w:bookmarkEnd w:id="103"/>
    </w:p>
    <w:p w14:paraId="4916CF1D">
      <w:pPr>
        <w:pStyle w:val="5"/>
        <w:adjustRightInd w:val="0"/>
        <w:snapToGrid w:val="0"/>
        <w:spacing w:before="0" w:after="0" w:line="360" w:lineRule="auto"/>
        <w:rPr>
          <w:rFonts w:ascii="宋体" w:hAnsi="宋体"/>
          <w:b w:val="0"/>
          <w:snapToGrid w:val="0"/>
          <w:color w:val="auto"/>
          <w:sz w:val="24"/>
          <w:szCs w:val="24"/>
          <w:highlight w:val="none"/>
        </w:rPr>
      </w:pPr>
      <w:bookmarkStart w:id="104" w:name="_Toc430530436"/>
      <w:bookmarkStart w:id="105" w:name="_Toc224103318"/>
      <w:bookmarkStart w:id="106" w:name="_Toc277082553"/>
      <w:bookmarkStart w:id="107" w:name="_Toc287620686"/>
      <w:bookmarkStart w:id="108" w:name="_Toc287607747"/>
      <w:bookmarkStart w:id="109" w:name="_Toc509218711"/>
      <w:bookmarkStart w:id="110" w:name="_Toc177985658"/>
      <w:bookmarkStart w:id="111" w:name="_Toc200513127"/>
      <w:r>
        <w:rPr>
          <w:rFonts w:ascii="宋体" w:hAnsi="宋体"/>
          <w:b w:val="0"/>
          <w:snapToGrid w:val="0"/>
          <w:color w:val="auto"/>
          <w:sz w:val="24"/>
          <w:szCs w:val="24"/>
          <w:highlight w:val="none"/>
        </w:rPr>
        <w:t>1.1  项目概况</w:t>
      </w:r>
      <w:bookmarkEnd w:id="104"/>
      <w:bookmarkEnd w:id="105"/>
      <w:bookmarkEnd w:id="106"/>
      <w:bookmarkEnd w:id="107"/>
      <w:bookmarkEnd w:id="108"/>
      <w:bookmarkEnd w:id="109"/>
      <w:bookmarkEnd w:id="110"/>
      <w:bookmarkEnd w:id="111"/>
    </w:p>
    <w:p w14:paraId="42BFCC0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标投</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标法》、《中华人民共和国招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标投</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标法实施条例》等有关法律、法规和规章的规定，本项目已具备</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条件，现对</w:t>
      </w:r>
      <w:r>
        <w:rPr>
          <w:rFonts w:hint="eastAsia" w:ascii="宋体" w:hAnsi="宋体"/>
          <w:snapToGrid w:val="0"/>
          <w:color w:val="auto"/>
          <w:kern w:val="0"/>
          <w:szCs w:val="21"/>
          <w:highlight w:val="none"/>
        </w:rPr>
        <w:t>该项目</w:t>
      </w:r>
      <w:r>
        <w:rPr>
          <w:rFonts w:ascii="宋体" w:hAnsi="宋体"/>
          <w:snapToGrid w:val="0"/>
          <w:color w:val="auto"/>
          <w:kern w:val="0"/>
          <w:szCs w:val="21"/>
          <w:highlight w:val="none"/>
        </w:rPr>
        <w:t>进行</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w:t>
      </w:r>
    </w:p>
    <w:p w14:paraId="7780AC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F648E2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1.1.3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6B9D99F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项目名称：见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1407B88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1.1.5  项目地点：见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1A6D370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snapToGrid w:val="0"/>
          <w:color w:val="auto"/>
          <w:kern w:val="0"/>
          <w:szCs w:val="21"/>
          <w:highlight w:val="none"/>
        </w:rPr>
        <w:t>1.1.6  项目规模：见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CB4262E">
      <w:pPr>
        <w:pStyle w:val="5"/>
        <w:adjustRightInd w:val="0"/>
        <w:snapToGrid w:val="0"/>
        <w:spacing w:before="0" w:after="0" w:line="360" w:lineRule="auto"/>
        <w:rPr>
          <w:rFonts w:ascii="宋体" w:hAnsi="宋体"/>
          <w:b w:val="0"/>
          <w:snapToGrid w:val="0"/>
          <w:color w:val="auto"/>
          <w:sz w:val="24"/>
          <w:szCs w:val="24"/>
          <w:highlight w:val="none"/>
        </w:rPr>
      </w:pPr>
      <w:bookmarkStart w:id="112" w:name="_Toc287620687"/>
      <w:bookmarkStart w:id="113" w:name="_Toc277082554"/>
      <w:bookmarkStart w:id="114" w:name="_Toc287607748"/>
      <w:bookmarkStart w:id="115" w:name="_Toc509218712"/>
      <w:bookmarkStart w:id="116" w:name="_Toc430530437"/>
      <w:bookmarkStart w:id="117" w:name="_Toc177985659"/>
      <w:bookmarkStart w:id="118" w:name="_Toc200513128"/>
      <w:bookmarkStart w:id="119" w:name="_Toc224103319"/>
      <w:r>
        <w:rPr>
          <w:rFonts w:ascii="宋体" w:hAnsi="宋体"/>
          <w:b w:val="0"/>
          <w:snapToGrid w:val="0"/>
          <w:color w:val="auto"/>
          <w:sz w:val="24"/>
          <w:szCs w:val="24"/>
          <w:highlight w:val="none"/>
        </w:rPr>
        <w:t xml:space="preserve">1.2  </w:t>
      </w:r>
      <w:r>
        <w:rPr>
          <w:rFonts w:hint="eastAsia" w:ascii="宋体" w:hAnsi="宋体"/>
          <w:b w:val="0"/>
          <w:snapToGrid w:val="0"/>
          <w:color w:val="auto"/>
          <w:sz w:val="24"/>
          <w:szCs w:val="24"/>
          <w:highlight w:val="none"/>
          <w:lang w:eastAsia="zh-CN"/>
        </w:rPr>
        <w:t>招标</w:t>
      </w:r>
      <w:r>
        <w:rPr>
          <w:rFonts w:hint="eastAsia" w:ascii="宋体" w:hAnsi="宋体"/>
          <w:b w:val="0"/>
          <w:snapToGrid w:val="0"/>
          <w:color w:val="auto"/>
          <w:sz w:val="24"/>
          <w:szCs w:val="24"/>
          <w:highlight w:val="none"/>
        </w:rPr>
        <w:t>项目的</w:t>
      </w:r>
      <w:r>
        <w:rPr>
          <w:rFonts w:ascii="宋体" w:hAnsi="宋体"/>
          <w:b w:val="0"/>
          <w:snapToGrid w:val="0"/>
          <w:color w:val="auto"/>
          <w:sz w:val="24"/>
          <w:szCs w:val="24"/>
          <w:highlight w:val="none"/>
        </w:rPr>
        <w:t>资金来源和落实情况</w:t>
      </w:r>
      <w:bookmarkEnd w:id="112"/>
      <w:bookmarkEnd w:id="113"/>
      <w:bookmarkEnd w:id="114"/>
      <w:bookmarkEnd w:id="115"/>
      <w:bookmarkEnd w:id="116"/>
      <w:bookmarkEnd w:id="117"/>
      <w:bookmarkEnd w:id="118"/>
      <w:bookmarkEnd w:id="119"/>
    </w:p>
    <w:p w14:paraId="22FDC79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1.2.1  资金来源</w:t>
      </w:r>
      <w:r>
        <w:rPr>
          <w:rFonts w:hint="eastAsia" w:ascii="宋体" w:hAnsi="宋体"/>
          <w:snapToGrid w:val="0"/>
          <w:color w:val="auto"/>
          <w:kern w:val="0"/>
          <w:szCs w:val="21"/>
          <w:highlight w:val="none"/>
        </w:rPr>
        <w:t>及比例</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817DB1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1.2.2  资金落实情况：见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A6D4BA8">
      <w:pPr>
        <w:pStyle w:val="5"/>
        <w:adjustRightInd w:val="0"/>
        <w:snapToGrid w:val="0"/>
        <w:spacing w:before="0" w:after="0" w:line="360" w:lineRule="auto"/>
        <w:rPr>
          <w:rFonts w:ascii="宋体" w:hAnsi="宋体"/>
          <w:b w:val="0"/>
          <w:snapToGrid w:val="0"/>
          <w:color w:val="auto"/>
          <w:sz w:val="24"/>
          <w:szCs w:val="24"/>
          <w:highlight w:val="none"/>
        </w:rPr>
      </w:pPr>
      <w:bookmarkStart w:id="120" w:name="_Toc509218713"/>
      <w:bookmarkStart w:id="121" w:name="_Toc200513129"/>
      <w:bookmarkStart w:id="122" w:name="_Toc430530438"/>
      <w:bookmarkStart w:id="123" w:name="_Toc224103320"/>
      <w:bookmarkStart w:id="124" w:name="_Toc277082555"/>
      <w:bookmarkStart w:id="125" w:name="_Toc287607749"/>
      <w:bookmarkStart w:id="126" w:name="_Toc287620688"/>
      <w:bookmarkStart w:id="127" w:name="_Toc177985660"/>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范围、</w:t>
      </w:r>
      <w:r>
        <w:rPr>
          <w:rFonts w:hint="eastAsia" w:ascii="宋体" w:hAnsi="宋体"/>
          <w:b w:val="0"/>
          <w:snapToGrid w:val="0"/>
          <w:color w:val="auto"/>
          <w:sz w:val="24"/>
          <w:szCs w:val="24"/>
          <w:highlight w:val="none"/>
        </w:rPr>
        <w:t>交货期限</w:t>
      </w:r>
      <w:r>
        <w:rPr>
          <w:rFonts w:ascii="宋体" w:hAnsi="宋体"/>
          <w:b w:val="0"/>
          <w:snapToGrid w:val="0"/>
          <w:color w:val="auto"/>
          <w:sz w:val="24"/>
          <w:szCs w:val="24"/>
          <w:highlight w:val="none"/>
        </w:rPr>
        <w:t>和质量</w:t>
      </w:r>
      <w:bookmarkEnd w:id="120"/>
      <w:bookmarkEnd w:id="121"/>
      <w:bookmarkEnd w:id="122"/>
      <w:bookmarkEnd w:id="123"/>
      <w:bookmarkEnd w:id="124"/>
      <w:bookmarkEnd w:id="125"/>
      <w:bookmarkEnd w:id="126"/>
      <w:r>
        <w:rPr>
          <w:rFonts w:hint="eastAsia" w:ascii="宋体" w:hAnsi="宋体"/>
          <w:b w:val="0"/>
          <w:snapToGrid w:val="0"/>
          <w:color w:val="auto"/>
          <w:sz w:val="24"/>
          <w:szCs w:val="24"/>
          <w:highlight w:val="none"/>
        </w:rPr>
        <w:t>标准</w:t>
      </w:r>
      <w:bookmarkEnd w:id="127"/>
    </w:p>
    <w:p w14:paraId="218EBBA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范围：见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777EA7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1.3.2  </w:t>
      </w:r>
      <w:r>
        <w:rPr>
          <w:rFonts w:hint="eastAsia" w:ascii="宋体" w:hAnsi="宋体"/>
          <w:snapToGrid w:val="0"/>
          <w:color w:val="auto"/>
          <w:kern w:val="0"/>
          <w:szCs w:val="21"/>
          <w:highlight w:val="none"/>
        </w:rPr>
        <w:t>交货期限</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714F90B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1.3.3  质量</w:t>
      </w:r>
      <w:r>
        <w:rPr>
          <w:rFonts w:hint="eastAsia" w:ascii="宋体" w:hAnsi="宋体"/>
          <w:snapToGrid w:val="0"/>
          <w:color w:val="auto"/>
          <w:kern w:val="0"/>
          <w:szCs w:val="21"/>
          <w:highlight w:val="none"/>
        </w:rPr>
        <w:t>标准</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265E10D4">
      <w:pPr>
        <w:pStyle w:val="5"/>
        <w:adjustRightInd w:val="0"/>
        <w:snapToGrid w:val="0"/>
        <w:spacing w:before="0" w:after="0" w:line="360" w:lineRule="auto"/>
        <w:rPr>
          <w:rFonts w:ascii="宋体" w:hAnsi="宋体"/>
          <w:b w:val="0"/>
          <w:snapToGrid w:val="0"/>
          <w:color w:val="auto"/>
          <w:sz w:val="24"/>
          <w:szCs w:val="24"/>
          <w:highlight w:val="none"/>
        </w:rPr>
      </w:pPr>
      <w:bookmarkStart w:id="128" w:name="_Toc287620689"/>
      <w:bookmarkStart w:id="129" w:name="_Toc287607750"/>
      <w:bookmarkStart w:id="130" w:name="_Toc200513130"/>
      <w:bookmarkStart w:id="131" w:name="_Toc430530439"/>
      <w:bookmarkStart w:id="132" w:name="_Toc509218714"/>
      <w:bookmarkStart w:id="133" w:name="_Toc177985661"/>
      <w:bookmarkStart w:id="134" w:name="_Toc224103321"/>
      <w:bookmarkStart w:id="135" w:name="_Toc277082556"/>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lang w:eastAsia="zh-CN"/>
        </w:rPr>
        <w:t>投标人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适用于已进行资格预审的</w:t>
      </w:r>
      <w:r>
        <w:rPr>
          <w:rFonts w:ascii="宋体" w:hAnsi="宋体"/>
          <w:b w:val="0"/>
          <w:snapToGrid w:val="0"/>
          <w:color w:val="auto"/>
          <w:sz w:val="24"/>
          <w:szCs w:val="24"/>
          <w:highlight w:val="none"/>
        </w:rPr>
        <w:t>）</w:t>
      </w:r>
      <w:bookmarkEnd w:id="128"/>
      <w:bookmarkEnd w:id="129"/>
      <w:bookmarkEnd w:id="130"/>
      <w:bookmarkEnd w:id="131"/>
      <w:bookmarkEnd w:id="132"/>
      <w:bookmarkEnd w:id="133"/>
      <w:bookmarkEnd w:id="134"/>
      <w:bookmarkEnd w:id="135"/>
    </w:p>
    <w:p w14:paraId="17C4F52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应是收到</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发出</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邀请书的单位。</w:t>
      </w:r>
    </w:p>
    <w:p w14:paraId="29513584">
      <w:pPr>
        <w:pStyle w:val="5"/>
        <w:adjustRightInd w:val="0"/>
        <w:snapToGrid w:val="0"/>
        <w:spacing w:before="0" w:after="0" w:line="360" w:lineRule="auto"/>
        <w:rPr>
          <w:rFonts w:ascii="宋体" w:hAnsi="宋体"/>
          <w:b w:val="0"/>
          <w:snapToGrid w:val="0"/>
          <w:color w:val="auto"/>
          <w:sz w:val="24"/>
          <w:szCs w:val="24"/>
          <w:highlight w:val="none"/>
        </w:rPr>
      </w:pPr>
      <w:bookmarkStart w:id="136" w:name="_Toc200513131"/>
      <w:bookmarkStart w:id="137" w:name="_Toc177985662"/>
      <w:bookmarkStart w:id="138" w:name="_Toc287607751"/>
      <w:bookmarkStart w:id="139" w:name="_Toc430530440"/>
      <w:bookmarkStart w:id="140" w:name="_Toc224103322"/>
      <w:bookmarkStart w:id="141" w:name="_Toc277082557"/>
      <w:bookmarkStart w:id="142" w:name="_Toc287620690"/>
      <w:bookmarkStart w:id="143" w:name="_Toc509218715"/>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lang w:eastAsia="zh-CN"/>
        </w:rPr>
        <w:t>投标人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36"/>
      <w:bookmarkEnd w:id="137"/>
      <w:bookmarkEnd w:id="138"/>
      <w:bookmarkEnd w:id="139"/>
      <w:bookmarkEnd w:id="140"/>
      <w:bookmarkEnd w:id="141"/>
      <w:bookmarkEnd w:id="142"/>
      <w:bookmarkEnd w:id="143"/>
    </w:p>
    <w:p w14:paraId="08778D6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应具备承担</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的资质条件、能力和信誉</w:t>
      </w:r>
      <w:r>
        <w:rPr>
          <w:rFonts w:hint="eastAsia" w:ascii="宋体" w:hAnsi="宋体"/>
          <w:snapToGrid w:val="0"/>
          <w:color w:val="auto"/>
          <w:kern w:val="0"/>
          <w:szCs w:val="21"/>
          <w:highlight w:val="none"/>
        </w:rPr>
        <w:t>：</w:t>
      </w:r>
    </w:p>
    <w:p w14:paraId="7052A15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331324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联合体</w:t>
      </w:r>
      <w:r>
        <w:rPr>
          <w:rFonts w:ascii="宋体" w:hAnsi="宋体"/>
          <w:snapToGrid w:val="0"/>
          <w:color w:val="auto"/>
          <w:kern w:val="0"/>
          <w:szCs w:val="21"/>
          <w:highlight w:val="none"/>
        </w:rPr>
        <w:t>除应符合本章第1.4.1项和</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须知前附表的要求外，还应遵守以下规定：</w:t>
      </w:r>
    </w:p>
    <w:p w14:paraId="15DE4EC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文件提供的格式签订联合体协议书，明确联合体牵头人和各方权利义务，并承诺就</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项目向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承担连带责任；</w:t>
      </w:r>
    </w:p>
    <w:p w14:paraId="03D7FC2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（2）由同一专业的单位组成的联合体，按照资质等级较低的单位确定资质等级；</w:t>
      </w:r>
    </w:p>
    <w:p w14:paraId="1FC7EB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项目中</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，否则各相关</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均无效</w:t>
      </w:r>
      <w:r>
        <w:rPr>
          <w:rFonts w:ascii="宋体" w:hAnsi="宋体"/>
          <w:snapToGrid w:val="0"/>
          <w:color w:val="auto"/>
          <w:kern w:val="0"/>
          <w:szCs w:val="21"/>
          <w:highlight w:val="none"/>
        </w:rPr>
        <w:t>。</w:t>
      </w:r>
    </w:p>
    <w:p w14:paraId="0AFB998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不得存在下列情形之一：</w:t>
      </w:r>
    </w:p>
    <w:p w14:paraId="4307293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（1）为</w:t>
      </w:r>
      <w:r>
        <w:rPr>
          <w:rFonts w:hint="eastAsia" w:ascii="宋体" w:hAnsi="宋体"/>
          <w:snapToGrid w:val="0"/>
          <w:color w:val="auto"/>
          <w:kern w:val="0"/>
          <w:position w:val="-2"/>
          <w:szCs w:val="21"/>
          <w:highlight w:val="none"/>
          <w:lang w:eastAsia="zh-CN"/>
        </w:rPr>
        <w:t>招标人</w:t>
      </w:r>
      <w:r>
        <w:rPr>
          <w:rFonts w:ascii="宋体" w:hAnsi="宋体"/>
          <w:snapToGrid w:val="0"/>
          <w:color w:val="auto"/>
          <w:kern w:val="0"/>
          <w:position w:val="-2"/>
          <w:szCs w:val="21"/>
          <w:highlight w:val="none"/>
        </w:rPr>
        <w:t>不具有独立法人资格的附属机构（单位）；</w:t>
      </w:r>
    </w:p>
    <w:p w14:paraId="04758D3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存在利害关系且可能影响</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公正性</w:t>
      </w:r>
      <w:r>
        <w:rPr>
          <w:rFonts w:hint="eastAsia" w:ascii="宋体" w:hAnsi="宋体"/>
          <w:snapToGrid w:val="0"/>
          <w:color w:val="auto"/>
          <w:kern w:val="0"/>
          <w:szCs w:val="21"/>
          <w:highlight w:val="none"/>
        </w:rPr>
        <w:t>的法人、其他组织或者个人</w:t>
      </w:r>
      <w:r>
        <w:rPr>
          <w:rFonts w:ascii="宋体" w:hAnsi="宋体"/>
          <w:snapToGrid w:val="0"/>
          <w:color w:val="auto"/>
          <w:kern w:val="0"/>
          <w:szCs w:val="21"/>
          <w:highlight w:val="none"/>
        </w:rPr>
        <w:t>；</w:t>
      </w:r>
    </w:p>
    <w:p w14:paraId="237AA31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（3）</w:t>
      </w:r>
      <w:r>
        <w:rPr>
          <w:rFonts w:ascii="宋体" w:hAnsi="宋体"/>
          <w:color w:val="auto"/>
          <w:highlight w:val="none"/>
        </w:rPr>
        <w:t>与本</w:t>
      </w:r>
      <w:r>
        <w:rPr>
          <w:rFonts w:hint="eastAsia" w:ascii="宋体" w:hAnsi="宋体"/>
          <w:color w:val="auto"/>
          <w:highlight w:val="none"/>
          <w:lang w:eastAsia="zh-CN"/>
        </w:rPr>
        <w:t>招标</w:t>
      </w:r>
      <w:r>
        <w:rPr>
          <w:rFonts w:ascii="宋体" w:hAnsi="宋体"/>
          <w:color w:val="auto"/>
          <w:highlight w:val="none"/>
        </w:rPr>
        <w:t>项目的其他</w:t>
      </w:r>
      <w:r>
        <w:rPr>
          <w:rFonts w:hint="eastAsia" w:ascii="宋体" w:hAnsi="宋体"/>
          <w:color w:val="auto"/>
          <w:highlight w:val="none"/>
          <w:lang w:eastAsia="zh-CN"/>
        </w:rPr>
        <w:t>投标人</w:t>
      </w:r>
      <w:r>
        <w:rPr>
          <w:rFonts w:ascii="宋体" w:hAnsi="宋体"/>
          <w:color w:val="auto"/>
          <w:highlight w:val="none"/>
        </w:rPr>
        <w:t>为同一个单位负责人；</w:t>
      </w:r>
    </w:p>
    <w:p w14:paraId="068039D8">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（4）</w:t>
      </w:r>
      <w:r>
        <w:rPr>
          <w:rFonts w:ascii="宋体" w:hAnsi="宋体"/>
          <w:color w:val="auto"/>
          <w:highlight w:val="none"/>
        </w:rPr>
        <w:t>与本</w:t>
      </w:r>
      <w:r>
        <w:rPr>
          <w:rFonts w:hint="eastAsia" w:ascii="宋体" w:hAnsi="宋体"/>
          <w:color w:val="auto"/>
          <w:highlight w:val="none"/>
          <w:lang w:eastAsia="zh-CN"/>
        </w:rPr>
        <w:t>招标</w:t>
      </w:r>
      <w:r>
        <w:rPr>
          <w:rFonts w:ascii="宋体" w:hAnsi="宋体"/>
          <w:color w:val="auto"/>
          <w:highlight w:val="none"/>
        </w:rPr>
        <w:t>项目的其他</w:t>
      </w:r>
      <w:r>
        <w:rPr>
          <w:rFonts w:hint="eastAsia" w:ascii="宋体" w:hAnsi="宋体"/>
          <w:color w:val="auto"/>
          <w:highlight w:val="none"/>
          <w:lang w:eastAsia="zh-CN"/>
        </w:rPr>
        <w:t>投标人</w:t>
      </w:r>
      <w:r>
        <w:rPr>
          <w:rFonts w:ascii="宋体" w:hAnsi="宋体"/>
          <w:color w:val="auto"/>
          <w:highlight w:val="none"/>
        </w:rPr>
        <w:t>存在控股、管理关系；</w:t>
      </w:r>
    </w:p>
    <w:p w14:paraId="1A33A9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（5）为本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的代建人；</w:t>
      </w:r>
    </w:p>
    <w:p w14:paraId="286A3AA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（6）为</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项目的</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w:t>
      </w:r>
      <w:r>
        <w:rPr>
          <w:rFonts w:hint="eastAsia" w:ascii="宋体" w:hAnsi="宋体"/>
          <w:snapToGrid w:val="0"/>
          <w:color w:val="auto"/>
          <w:kern w:val="0"/>
          <w:szCs w:val="21"/>
          <w:highlight w:val="none"/>
        </w:rPr>
        <w:t>机构</w:t>
      </w:r>
      <w:r>
        <w:rPr>
          <w:rFonts w:ascii="宋体" w:hAnsi="宋体"/>
          <w:snapToGrid w:val="0"/>
          <w:color w:val="auto"/>
          <w:kern w:val="0"/>
          <w:szCs w:val="21"/>
          <w:highlight w:val="none"/>
        </w:rPr>
        <w:t>；</w:t>
      </w:r>
    </w:p>
    <w:p w14:paraId="7AAFC6B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（7）与</w:t>
      </w:r>
      <w:r>
        <w:rPr>
          <w:rFonts w:hint="eastAsia"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项目的</w:t>
      </w:r>
      <w:r>
        <w:rPr>
          <w:rFonts w:ascii="宋体" w:hAnsi="宋体"/>
          <w:snapToGrid w:val="0"/>
          <w:color w:val="auto"/>
          <w:kern w:val="0"/>
          <w:szCs w:val="21"/>
          <w:highlight w:val="none"/>
        </w:rPr>
        <w:t>代建人或</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代理机构同为一个法定代表人；</w:t>
      </w:r>
    </w:p>
    <w:p w14:paraId="76E813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（8）与本</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项目的代建人或</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代理机构</w:t>
      </w:r>
      <w:r>
        <w:rPr>
          <w:rFonts w:hint="eastAsia" w:ascii="宋体" w:hAnsi="宋体"/>
          <w:snapToGrid w:val="0"/>
          <w:color w:val="auto"/>
          <w:kern w:val="0"/>
          <w:szCs w:val="21"/>
          <w:highlight w:val="none"/>
        </w:rPr>
        <w:t>存在</w:t>
      </w:r>
      <w:r>
        <w:rPr>
          <w:rFonts w:ascii="宋体" w:hAnsi="宋体"/>
          <w:snapToGrid w:val="0"/>
          <w:color w:val="auto"/>
          <w:kern w:val="0"/>
          <w:szCs w:val="21"/>
          <w:highlight w:val="none"/>
        </w:rPr>
        <w:t>控股或参股</w:t>
      </w:r>
      <w:r>
        <w:rPr>
          <w:rFonts w:hint="eastAsia" w:ascii="宋体" w:hAnsi="宋体"/>
          <w:snapToGrid w:val="0"/>
          <w:color w:val="auto"/>
          <w:kern w:val="0"/>
          <w:szCs w:val="21"/>
          <w:highlight w:val="none"/>
        </w:rPr>
        <w:t>关系</w:t>
      </w:r>
      <w:r>
        <w:rPr>
          <w:rFonts w:ascii="宋体" w:hAnsi="宋体"/>
          <w:snapToGrid w:val="0"/>
          <w:color w:val="auto"/>
          <w:kern w:val="0"/>
          <w:szCs w:val="21"/>
          <w:highlight w:val="none"/>
        </w:rPr>
        <w:t>；</w:t>
      </w:r>
    </w:p>
    <w:p w14:paraId="2E1A02C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rPr>
        <w:t>被国家、重庆市（含市或任意区县）有关行政部门处以暂停投 标资格行政处罚，且在处罚期限内的；</w:t>
      </w:r>
    </w:p>
    <w:p w14:paraId="16C1B7E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（10）</w:t>
      </w:r>
      <w:bookmarkStart w:id="144" w:name="_Hlk66280425"/>
      <w:r>
        <w:rPr>
          <w:rFonts w:ascii="宋体" w:hAnsi="宋体"/>
          <w:snapToGrid w:val="0"/>
          <w:color w:val="auto"/>
          <w:kern w:val="0"/>
          <w:szCs w:val="21"/>
          <w:highlight w:val="none"/>
        </w:rPr>
        <w:t>被责令停产停业、暂扣或者吊销许可证、暂扣或者吊销执照；</w:t>
      </w:r>
      <w:bookmarkEnd w:id="144"/>
    </w:p>
    <w:p w14:paraId="1B9B8C8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（11）</w:t>
      </w:r>
      <w:bookmarkStart w:id="145" w:name="_Hlk66280433"/>
      <w:r>
        <w:rPr>
          <w:rFonts w:ascii="宋体" w:hAnsi="宋体"/>
          <w:snapToGrid w:val="0"/>
          <w:color w:val="auto"/>
          <w:kern w:val="0"/>
          <w:szCs w:val="21"/>
          <w:highlight w:val="none"/>
        </w:rPr>
        <w:t>进入清算程序，或被宣告破产，或其他丧失履约能力的情形；</w:t>
      </w:r>
      <w:bookmarkEnd w:id="145"/>
    </w:p>
    <w:p w14:paraId="27ADC2B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（12）法律法规或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须知前附表规定的其他情形。</w:t>
      </w:r>
    </w:p>
    <w:p w14:paraId="70F4F8CF">
      <w:pPr>
        <w:pStyle w:val="5"/>
        <w:adjustRightInd w:val="0"/>
        <w:snapToGrid w:val="0"/>
        <w:spacing w:before="0" w:after="0" w:line="360" w:lineRule="auto"/>
        <w:rPr>
          <w:rFonts w:ascii="宋体" w:hAnsi="宋体"/>
          <w:b w:val="0"/>
          <w:snapToGrid w:val="0"/>
          <w:color w:val="auto"/>
          <w:sz w:val="24"/>
          <w:szCs w:val="24"/>
          <w:highlight w:val="none"/>
        </w:rPr>
      </w:pPr>
      <w:bookmarkStart w:id="146" w:name="_Toc509218716"/>
      <w:bookmarkStart w:id="147" w:name="_Toc224103323"/>
      <w:bookmarkStart w:id="148" w:name="_Toc277082558"/>
      <w:bookmarkStart w:id="149" w:name="_Toc200513132"/>
      <w:bookmarkStart w:id="150" w:name="_Toc287620691"/>
      <w:bookmarkStart w:id="151" w:name="_Toc287607752"/>
      <w:bookmarkStart w:id="152" w:name="_Toc177985663"/>
      <w:bookmarkStart w:id="153" w:name="_Toc430530441"/>
      <w:r>
        <w:rPr>
          <w:rFonts w:ascii="宋体" w:hAnsi="宋体"/>
          <w:b w:val="0"/>
          <w:snapToGrid w:val="0"/>
          <w:color w:val="auto"/>
          <w:sz w:val="24"/>
          <w:szCs w:val="24"/>
          <w:highlight w:val="none"/>
        </w:rPr>
        <w:t>1.5  费用承担</w:t>
      </w:r>
      <w:bookmarkEnd w:id="146"/>
      <w:bookmarkEnd w:id="147"/>
      <w:bookmarkEnd w:id="148"/>
      <w:bookmarkEnd w:id="149"/>
      <w:bookmarkEnd w:id="150"/>
      <w:bookmarkEnd w:id="151"/>
      <w:bookmarkEnd w:id="152"/>
      <w:bookmarkEnd w:id="153"/>
    </w:p>
    <w:p w14:paraId="7B7CB29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准备和参加</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活动发生的费用自理。</w:t>
      </w:r>
    </w:p>
    <w:p w14:paraId="545E431C">
      <w:pPr>
        <w:pStyle w:val="5"/>
        <w:adjustRightInd w:val="0"/>
        <w:snapToGrid w:val="0"/>
        <w:spacing w:before="0" w:after="0" w:line="360" w:lineRule="auto"/>
        <w:rPr>
          <w:rFonts w:ascii="宋体" w:hAnsi="宋体"/>
          <w:b w:val="0"/>
          <w:snapToGrid w:val="0"/>
          <w:color w:val="auto"/>
          <w:sz w:val="24"/>
          <w:szCs w:val="24"/>
          <w:highlight w:val="none"/>
        </w:rPr>
      </w:pPr>
      <w:bookmarkStart w:id="154" w:name="_Toc277082559"/>
      <w:bookmarkStart w:id="155" w:name="_Toc177985664"/>
      <w:bookmarkStart w:id="156" w:name="_Toc430530442"/>
      <w:bookmarkStart w:id="157" w:name="_Toc200513133"/>
      <w:bookmarkStart w:id="158" w:name="_Toc509218717"/>
      <w:bookmarkStart w:id="159" w:name="_Toc287620692"/>
      <w:bookmarkStart w:id="160" w:name="_Toc287607753"/>
      <w:bookmarkStart w:id="161" w:name="_Toc224103324"/>
      <w:r>
        <w:rPr>
          <w:rFonts w:ascii="宋体" w:hAnsi="宋体"/>
          <w:b w:val="0"/>
          <w:snapToGrid w:val="0"/>
          <w:color w:val="auto"/>
          <w:sz w:val="24"/>
          <w:szCs w:val="24"/>
          <w:highlight w:val="none"/>
        </w:rPr>
        <w:t>1.6  保密</w:t>
      </w:r>
      <w:bookmarkEnd w:id="154"/>
      <w:bookmarkEnd w:id="155"/>
      <w:bookmarkEnd w:id="156"/>
      <w:bookmarkEnd w:id="157"/>
      <w:bookmarkEnd w:id="158"/>
      <w:bookmarkEnd w:id="159"/>
      <w:bookmarkEnd w:id="160"/>
      <w:bookmarkEnd w:id="161"/>
    </w:p>
    <w:p w14:paraId="0D837A1A">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活动的各方应对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中的商业和技术等秘密保密，否则应承担相应的法律责任。</w:t>
      </w:r>
    </w:p>
    <w:p w14:paraId="4A0A1242">
      <w:pPr>
        <w:pStyle w:val="5"/>
        <w:adjustRightInd w:val="0"/>
        <w:snapToGrid w:val="0"/>
        <w:spacing w:before="0" w:after="0" w:line="360" w:lineRule="auto"/>
        <w:rPr>
          <w:rFonts w:ascii="宋体" w:hAnsi="宋体"/>
          <w:b w:val="0"/>
          <w:snapToGrid w:val="0"/>
          <w:color w:val="auto"/>
          <w:sz w:val="24"/>
          <w:szCs w:val="24"/>
          <w:highlight w:val="none"/>
        </w:rPr>
      </w:pPr>
      <w:bookmarkStart w:id="162" w:name="_Toc287607754"/>
      <w:bookmarkStart w:id="163" w:name="_Toc200513134"/>
      <w:bookmarkStart w:id="164" w:name="_Toc509218718"/>
      <w:bookmarkStart w:id="165" w:name="_Toc224103325"/>
      <w:bookmarkStart w:id="166" w:name="_Toc277082560"/>
      <w:bookmarkStart w:id="167" w:name="_Toc177985665"/>
      <w:bookmarkStart w:id="168" w:name="_Toc430530443"/>
      <w:bookmarkStart w:id="169" w:name="_Toc287620693"/>
      <w:r>
        <w:rPr>
          <w:rFonts w:ascii="宋体" w:hAnsi="宋体"/>
          <w:b w:val="0"/>
          <w:snapToGrid w:val="0"/>
          <w:color w:val="auto"/>
          <w:sz w:val="24"/>
          <w:szCs w:val="24"/>
          <w:highlight w:val="none"/>
        </w:rPr>
        <w:t>1.7  语言文字</w:t>
      </w:r>
      <w:bookmarkEnd w:id="162"/>
      <w:bookmarkEnd w:id="163"/>
      <w:bookmarkEnd w:id="164"/>
      <w:bookmarkEnd w:id="165"/>
      <w:bookmarkEnd w:id="166"/>
      <w:bookmarkEnd w:id="167"/>
      <w:bookmarkEnd w:id="168"/>
      <w:bookmarkEnd w:id="169"/>
    </w:p>
    <w:p w14:paraId="61A7684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招标投标文件</w:t>
      </w:r>
      <w:r>
        <w:rPr>
          <w:rFonts w:ascii="宋体" w:hAnsi="宋体"/>
          <w:snapToGrid w:val="0"/>
          <w:color w:val="auto"/>
          <w:kern w:val="0"/>
          <w:szCs w:val="21"/>
          <w:highlight w:val="none"/>
        </w:rPr>
        <w:t>使用的语言文字为中文。专用术语使用外文的，应附有中文注释。</w:t>
      </w:r>
    </w:p>
    <w:p w14:paraId="39EB838E">
      <w:pPr>
        <w:pStyle w:val="5"/>
        <w:adjustRightInd w:val="0"/>
        <w:snapToGrid w:val="0"/>
        <w:spacing w:before="0" w:after="0" w:line="360" w:lineRule="auto"/>
        <w:rPr>
          <w:rFonts w:ascii="宋体" w:hAnsi="宋体"/>
          <w:b w:val="0"/>
          <w:snapToGrid w:val="0"/>
          <w:color w:val="auto"/>
          <w:sz w:val="24"/>
          <w:szCs w:val="24"/>
          <w:highlight w:val="none"/>
        </w:rPr>
      </w:pPr>
      <w:bookmarkStart w:id="170" w:name="_Toc200513135"/>
      <w:bookmarkStart w:id="171" w:name="_Toc509218719"/>
      <w:bookmarkStart w:id="172" w:name="_Toc177985666"/>
      <w:bookmarkStart w:id="173" w:name="_Toc430530444"/>
      <w:bookmarkStart w:id="174" w:name="_Toc287620694"/>
      <w:bookmarkStart w:id="175" w:name="_Toc224103326"/>
      <w:bookmarkStart w:id="176" w:name="_Toc277082561"/>
      <w:bookmarkStart w:id="177" w:name="_Toc287607755"/>
      <w:r>
        <w:rPr>
          <w:rFonts w:ascii="宋体" w:hAnsi="宋体"/>
          <w:b w:val="0"/>
          <w:snapToGrid w:val="0"/>
          <w:color w:val="auto"/>
          <w:sz w:val="24"/>
          <w:szCs w:val="24"/>
          <w:highlight w:val="none"/>
        </w:rPr>
        <w:t>1.8  计量单位</w:t>
      </w:r>
      <w:bookmarkEnd w:id="170"/>
      <w:bookmarkEnd w:id="171"/>
      <w:bookmarkEnd w:id="172"/>
      <w:bookmarkEnd w:id="173"/>
      <w:bookmarkEnd w:id="174"/>
      <w:bookmarkEnd w:id="175"/>
      <w:bookmarkEnd w:id="176"/>
      <w:bookmarkEnd w:id="177"/>
    </w:p>
    <w:p w14:paraId="57453B13">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482D5373">
      <w:pPr>
        <w:pStyle w:val="5"/>
        <w:adjustRightInd w:val="0"/>
        <w:snapToGrid w:val="0"/>
        <w:spacing w:before="0" w:after="0" w:line="360" w:lineRule="auto"/>
        <w:rPr>
          <w:rFonts w:ascii="宋体" w:hAnsi="宋体"/>
          <w:b w:val="0"/>
          <w:snapToGrid w:val="0"/>
          <w:color w:val="auto"/>
          <w:sz w:val="24"/>
          <w:szCs w:val="24"/>
          <w:highlight w:val="none"/>
        </w:rPr>
      </w:pPr>
      <w:bookmarkStart w:id="178" w:name="_Toc200513136"/>
      <w:bookmarkStart w:id="179" w:name="_Toc287607756"/>
      <w:bookmarkStart w:id="180" w:name="_Toc287620695"/>
      <w:bookmarkStart w:id="181" w:name="_Toc224103327"/>
      <w:bookmarkStart w:id="182" w:name="_Toc509218720"/>
      <w:bookmarkStart w:id="183" w:name="_Toc277082562"/>
      <w:bookmarkStart w:id="184" w:name="_Toc430530445"/>
      <w:bookmarkStart w:id="185" w:name="_Toc177985667"/>
      <w:r>
        <w:rPr>
          <w:rFonts w:ascii="宋体" w:hAnsi="宋体"/>
          <w:b w:val="0"/>
          <w:snapToGrid w:val="0"/>
          <w:color w:val="auto"/>
          <w:sz w:val="24"/>
          <w:szCs w:val="24"/>
          <w:highlight w:val="none"/>
        </w:rPr>
        <w:t>1.9  踏勘现场</w:t>
      </w:r>
      <w:bookmarkEnd w:id="178"/>
      <w:bookmarkEnd w:id="179"/>
      <w:bookmarkEnd w:id="180"/>
      <w:bookmarkEnd w:id="181"/>
      <w:bookmarkEnd w:id="182"/>
      <w:bookmarkEnd w:id="183"/>
      <w:bookmarkEnd w:id="184"/>
      <w:bookmarkEnd w:id="185"/>
    </w:p>
    <w:p w14:paraId="60466FB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踏勘项目现场。部分</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未按时参加踏勘现场的，不影响踏勘现场的正常进行。</w:t>
      </w:r>
    </w:p>
    <w:p w14:paraId="5D9326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踏勘现场发生的费用自理。</w:t>
      </w:r>
    </w:p>
    <w:p w14:paraId="2E13042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自行负责在踏勘现场中所发生的人员伤亡和财产损失。</w:t>
      </w:r>
    </w:p>
    <w:p w14:paraId="4D38F6C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在踏勘现场中介绍的工程场地和相关的周边环境情况</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供</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据此做出的判断和决策负责。</w:t>
      </w:r>
    </w:p>
    <w:p w14:paraId="0F9A9F2A">
      <w:pPr>
        <w:pStyle w:val="5"/>
        <w:adjustRightInd w:val="0"/>
        <w:snapToGrid w:val="0"/>
        <w:spacing w:before="0" w:after="0" w:line="360" w:lineRule="auto"/>
        <w:rPr>
          <w:rFonts w:ascii="宋体" w:hAnsi="宋体"/>
          <w:b w:val="0"/>
          <w:snapToGrid w:val="0"/>
          <w:color w:val="auto"/>
          <w:sz w:val="24"/>
          <w:szCs w:val="24"/>
          <w:highlight w:val="none"/>
        </w:rPr>
      </w:pPr>
      <w:bookmarkStart w:id="186" w:name="_Toc224103328"/>
      <w:bookmarkStart w:id="187" w:name="_Toc287620696"/>
      <w:bookmarkStart w:id="188" w:name="_Toc200513137"/>
      <w:bookmarkStart w:id="189" w:name="_Toc277082563"/>
      <w:bookmarkStart w:id="190" w:name="_Toc177985668"/>
      <w:bookmarkStart w:id="191" w:name="_Toc287607757"/>
      <w:bookmarkStart w:id="192" w:name="_Toc430530446"/>
      <w:bookmarkStart w:id="193" w:name="_Toc509218721"/>
      <w:r>
        <w:rPr>
          <w:rFonts w:ascii="宋体" w:hAnsi="宋体"/>
          <w:b w:val="0"/>
          <w:snapToGrid w:val="0"/>
          <w:color w:val="auto"/>
          <w:sz w:val="24"/>
          <w:szCs w:val="24"/>
          <w:highlight w:val="none"/>
        </w:rPr>
        <w:t xml:space="preserve">1.10  </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预备会</w:t>
      </w:r>
      <w:bookmarkEnd w:id="186"/>
      <w:bookmarkEnd w:id="187"/>
      <w:bookmarkEnd w:id="188"/>
      <w:bookmarkEnd w:id="189"/>
      <w:bookmarkEnd w:id="190"/>
      <w:bookmarkEnd w:id="191"/>
      <w:bookmarkEnd w:id="192"/>
      <w:bookmarkEnd w:id="193"/>
    </w:p>
    <w:p w14:paraId="737668C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须知前附表规定召开</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预备会的，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须知前附表规定的时间和地点召开</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预备会，澄清</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提出的问题。</w:t>
      </w:r>
    </w:p>
    <w:p w14:paraId="55BBA17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须知前附表规定的时间和形式将提出的问题送达</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在会议期间澄清</w:t>
      </w:r>
      <w:r>
        <w:rPr>
          <w:rFonts w:hint="eastAsia" w:ascii="宋体" w:hAnsi="宋体"/>
          <w:snapToGrid w:val="0"/>
          <w:color w:val="auto"/>
          <w:kern w:val="0"/>
          <w:szCs w:val="21"/>
          <w:highlight w:val="none"/>
        </w:rPr>
        <w:t>。</w:t>
      </w:r>
    </w:p>
    <w:p w14:paraId="4AF6788E">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预备会后，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将对</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所提问题的澄清，以</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须知前附表规定的形式通知所有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。该澄清内容为</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文件的组成部分。</w:t>
      </w:r>
    </w:p>
    <w:p w14:paraId="520BE547">
      <w:pPr>
        <w:pStyle w:val="5"/>
        <w:adjustRightInd w:val="0"/>
        <w:snapToGrid w:val="0"/>
        <w:spacing w:before="0" w:after="0" w:line="360" w:lineRule="auto"/>
        <w:rPr>
          <w:rFonts w:ascii="宋体" w:hAnsi="宋体"/>
          <w:b w:val="0"/>
          <w:snapToGrid w:val="0"/>
          <w:color w:val="auto"/>
          <w:sz w:val="24"/>
          <w:szCs w:val="24"/>
          <w:highlight w:val="none"/>
        </w:rPr>
      </w:pPr>
      <w:bookmarkStart w:id="194" w:name="_Toc277082564"/>
      <w:bookmarkStart w:id="195" w:name="_Toc200513138"/>
      <w:bookmarkStart w:id="196" w:name="_Toc509218722"/>
      <w:bookmarkStart w:id="197" w:name="_Toc287607758"/>
      <w:bookmarkStart w:id="198" w:name="_Toc224103329"/>
      <w:bookmarkStart w:id="199" w:name="_Toc430530447"/>
      <w:bookmarkStart w:id="200" w:name="_Toc287620697"/>
      <w:bookmarkStart w:id="201" w:name="_Toc177985669"/>
      <w:r>
        <w:rPr>
          <w:rFonts w:ascii="宋体" w:hAnsi="宋体"/>
          <w:b w:val="0"/>
          <w:snapToGrid w:val="0"/>
          <w:color w:val="auto"/>
          <w:sz w:val="24"/>
          <w:szCs w:val="24"/>
          <w:highlight w:val="none"/>
        </w:rPr>
        <w:t>1.11  分包</w:t>
      </w:r>
      <w:bookmarkEnd w:id="194"/>
      <w:bookmarkEnd w:id="195"/>
      <w:bookmarkEnd w:id="196"/>
      <w:bookmarkEnd w:id="197"/>
      <w:bookmarkEnd w:id="198"/>
      <w:bookmarkEnd w:id="199"/>
      <w:bookmarkEnd w:id="200"/>
      <w:bookmarkEnd w:id="201"/>
    </w:p>
    <w:p w14:paraId="3B9F8998">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拟在</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后将</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项目的非主体、非关键性工作进行分包的，应符合</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须知前附表规定的分包内容、分包金额和资质要求等限制性条件，除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须知前附表规定的非主体、非关键性工作外，其他工作不得分包。</w:t>
      </w:r>
    </w:p>
    <w:p w14:paraId="412C9918">
      <w:pPr>
        <w:autoSpaceDE w:val="0"/>
        <w:autoSpaceDN w:val="0"/>
        <w:adjustRightInd w:val="0"/>
        <w:snapToGrid w:val="0"/>
        <w:spacing w:line="360" w:lineRule="auto"/>
        <w:ind w:firstLine="426"/>
        <w:rPr>
          <w:rFonts w:ascii="宋体" w:hAnsi="宋体"/>
          <w:color w:val="auto"/>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.11.2  </w:t>
      </w:r>
      <w:r>
        <w:rPr>
          <w:rFonts w:hint="eastAsia" w:ascii="宋体" w:hAnsi="宋体"/>
          <w:color w:val="auto"/>
          <w:highlight w:val="none"/>
          <w:lang w:eastAsia="zh-CN"/>
        </w:rPr>
        <w:t>中标</w:t>
      </w:r>
      <w:r>
        <w:rPr>
          <w:rFonts w:ascii="宋体" w:hAnsi="宋体"/>
          <w:color w:val="auto"/>
          <w:highlight w:val="none"/>
        </w:rPr>
        <w:t>人不得向他人转让</w:t>
      </w:r>
      <w:r>
        <w:rPr>
          <w:rFonts w:hint="eastAsia" w:ascii="宋体" w:hAnsi="宋体"/>
          <w:color w:val="auto"/>
          <w:highlight w:val="none"/>
          <w:lang w:eastAsia="zh-CN"/>
        </w:rPr>
        <w:t>中标</w:t>
      </w:r>
      <w:r>
        <w:rPr>
          <w:rFonts w:ascii="宋体" w:hAnsi="宋体"/>
          <w:color w:val="auto"/>
          <w:highlight w:val="none"/>
        </w:rPr>
        <w:t>项目，接受分包的人不得再次分包。</w:t>
      </w:r>
      <w:r>
        <w:rPr>
          <w:rFonts w:hint="eastAsia" w:ascii="宋体" w:hAnsi="宋体"/>
          <w:color w:val="auto"/>
          <w:highlight w:val="none"/>
          <w:lang w:eastAsia="zh-CN"/>
        </w:rPr>
        <w:t>中标</w:t>
      </w:r>
      <w:r>
        <w:rPr>
          <w:rFonts w:ascii="宋体" w:hAnsi="宋体"/>
          <w:color w:val="auto"/>
          <w:highlight w:val="none"/>
        </w:rPr>
        <w:t>人应当就分包项目向</w:t>
      </w:r>
      <w:r>
        <w:rPr>
          <w:rFonts w:hint="eastAsia" w:ascii="宋体" w:hAnsi="宋体"/>
          <w:color w:val="auto"/>
          <w:highlight w:val="none"/>
          <w:lang w:eastAsia="zh-CN"/>
        </w:rPr>
        <w:t>招标人</w:t>
      </w:r>
      <w:r>
        <w:rPr>
          <w:rFonts w:ascii="宋体" w:hAnsi="宋体"/>
          <w:color w:val="auto"/>
          <w:highlight w:val="none"/>
        </w:rPr>
        <w:t>负责，接受分包的人就分包项目承担连带责任。</w:t>
      </w:r>
    </w:p>
    <w:p w14:paraId="4BEE7BF6">
      <w:pPr>
        <w:pStyle w:val="5"/>
        <w:adjustRightInd w:val="0"/>
        <w:snapToGrid w:val="0"/>
        <w:spacing w:before="0" w:after="0" w:line="360" w:lineRule="auto"/>
        <w:rPr>
          <w:rFonts w:ascii="宋体" w:hAnsi="宋体"/>
          <w:b w:val="0"/>
          <w:snapToGrid w:val="0"/>
          <w:color w:val="auto"/>
          <w:sz w:val="24"/>
          <w:szCs w:val="24"/>
          <w:highlight w:val="none"/>
        </w:rPr>
      </w:pPr>
      <w:bookmarkStart w:id="202" w:name="_Toc287620698"/>
      <w:bookmarkStart w:id="203" w:name="_Toc287607759"/>
      <w:bookmarkStart w:id="204" w:name="_Toc509218723"/>
      <w:bookmarkStart w:id="205" w:name="_Toc224103330"/>
      <w:bookmarkStart w:id="206" w:name="_Toc430530448"/>
      <w:bookmarkStart w:id="207" w:name="_Toc277082565"/>
      <w:bookmarkStart w:id="208" w:name="_Toc200513139"/>
      <w:bookmarkStart w:id="209" w:name="_Toc177985670"/>
      <w:r>
        <w:rPr>
          <w:rFonts w:ascii="宋体" w:hAnsi="宋体"/>
          <w:b w:val="0"/>
          <w:snapToGrid w:val="0"/>
          <w:color w:val="auto"/>
          <w:sz w:val="24"/>
          <w:szCs w:val="24"/>
          <w:highlight w:val="none"/>
        </w:rPr>
        <w:t xml:space="preserve">1.12  </w:t>
      </w:r>
      <w:bookmarkEnd w:id="202"/>
      <w:bookmarkEnd w:id="203"/>
      <w:bookmarkEnd w:id="204"/>
      <w:bookmarkEnd w:id="205"/>
      <w:bookmarkEnd w:id="206"/>
      <w:bookmarkEnd w:id="207"/>
      <w:bookmarkEnd w:id="208"/>
      <w:r>
        <w:rPr>
          <w:rFonts w:hint="eastAsia" w:ascii="宋体" w:hAnsi="宋体"/>
          <w:b w:val="0"/>
          <w:snapToGrid w:val="0"/>
          <w:color w:val="auto"/>
          <w:sz w:val="24"/>
          <w:szCs w:val="24"/>
          <w:highlight w:val="none"/>
        </w:rPr>
        <w:t>响应和偏离</w:t>
      </w:r>
      <w:bookmarkEnd w:id="209"/>
    </w:p>
    <w:p w14:paraId="3BFE36A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.12.1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文件的实质性要求和条件作出满足性或更有利于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的响应，否则，</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将被否决。</w:t>
      </w:r>
    </w:p>
    <w:p w14:paraId="6606626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1.12.2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应根据</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文件的要求提供</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方案等内容以对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文件作出响应。</w:t>
      </w:r>
    </w:p>
    <w:p w14:paraId="55EA12A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 xml:space="preserve">.12.3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文件某些要求的，偏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应当符合</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文件规定的偏</w:t>
      </w:r>
      <w:r>
        <w:rPr>
          <w:rFonts w:hint="eastAsia" w:ascii="宋体" w:hAnsi="宋体"/>
          <w:snapToGrid w:val="0"/>
          <w:color w:val="auto"/>
          <w:kern w:val="0"/>
          <w:szCs w:val="21"/>
          <w:highlight w:val="none"/>
        </w:rPr>
        <w:t>差</w:t>
      </w:r>
      <w:r>
        <w:rPr>
          <w:rFonts w:ascii="宋体" w:hAnsi="宋体"/>
          <w:snapToGrid w:val="0"/>
          <w:color w:val="auto"/>
          <w:kern w:val="0"/>
          <w:szCs w:val="21"/>
          <w:highlight w:val="none"/>
        </w:rPr>
        <w:t>范围和幅度。</w:t>
      </w:r>
    </w:p>
    <w:p w14:paraId="0B0CA80A">
      <w:pPr>
        <w:pStyle w:val="4"/>
        <w:adjustRightInd w:val="0"/>
        <w:snapToGrid w:val="0"/>
        <w:spacing w:before="0" w:after="0" w:line="360" w:lineRule="auto"/>
        <w:rPr>
          <w:rFonts w:ascii="宋体" w:hAnsi="宋体"/>
          <w:b w:val="0"/>
          <w:snapToGrid w:val="0"/>
          <w:color w:val="auto"/>
          <w:highlight w:val="none"/>
        </w:rPr>
      </w:pPr>
      <w:bookmarkStart w:id="210" w:name="_Toc509218724"/>
      <w:bookmarkStart w:id="211" w:name="_Toc177985671"/>
      <w:bookmarkStart w:id="212" w:name="_Toc287607760"/>
      <w:bookmarkStart w:id="213" w:name="_Toc287620699"/>
      <w:bookmarkStart w:id="214" w:name="_Toc224103331"/>
      <w:bookmarkStart w:id="215" w:name="_Toc200513140"/>
      <w:bookmarkStart w:id="216" w:name="_Toc430530449"/>
      <w:bookmarkStart w:id="217" w:name="_Toc277082566"/>
      <w:r>
        <w:rPr>
          <w:rFonts w:ascii="宋体" w:hAnsi="宋体"/>
          <w:b w:val="0"/>
          <w:snapToGrid w:val="0"/>
          <w:color w:val="auto"/>
          <w:highlight w:val="none"/>
        </w:rPr>
        <w:t xml:space="preserve">2.  </w:t>
      </w:r>
      <w:r>
        <w:rPr>
          <w:rFonts w:hint="eastAsia" w:ascii="宋体" w:hAnsi="宋体"/>
          <w:b w:val="0"/>
          <w:snapToGrid w:val="0"/>
          <w:color w:val="auto"/>
          <w:highlight w:val="none"/>
          <w:lang w:eastAsia="zh-CN"/>
        </w:rPr>
        <w:t>招标</w:t>
      </w:r>
      <w:r>
        <w:rPr>
          <w:rFonts w:ascii="宋体" w:hAnsi="宋体"/>
          <w:b w:val="0"/>
          <w:snapToGrid w:val="0"/>
          <w:color w:val="auto"/>
          <w:highlight w:val="none"/>
        </w:rPr>
        <w:t>文件</w:t>
      </w:r>
      <w:bookmarkEnd w:id="210"/>
      <w:bookmarkEnd w:id="211"/>
      <w:bookmarkEnd w:id="212"/>
      <w:bookmarkEnd w:id="213"/>
      <w:bookmarkEnd w:id="214"/>
      <w:bookmarkEnd w:id="215"/>
      <w:bookmarkEnd w:id="216"/>
      <w:bookmarkEnd w:id="217"/>
    </w:p>
    <w:p w14:paraId="6BCDAF58">
      <w:pPr>
        <w:pStyle w:val="5"/>
        <w:adjustRightInd w:val="0"/>
        <w:snapToGrid w:val="0"/>
        <w:spacing w:before="0" w:after="0" w:line="360" w:lineRule="auto"/>
        <w:rPr>
          <w:rFonts w:ascii="宋体" w:hAnsi="宋体"/>
          <w:b w:val="0"/>
          <w:snapToGrid w:val="0"/>
          <w:color w:val="auto"/>
          <w:sz w:val="24"/>
          <w:szCs w:val="24"/>
          <w:highlight w:val="none"/>
        </w:rPr>
      </w:pPr>
      <w:bookmarkStart w:id="218" w:name="_Toc287620700"/>
      <w:bookmarkStart w:id="219" w:name="_Toc224103332"/>
      <w:bookmarkStart w:id="220" w:name="_Toc177985672"/>
      <w:bookmarkStart w:id="221" w:name="_Toc287607761"/>
      <w:bookmarkStart w:id="222" w:name="_Toc200513141"/>
      <w:bookmarkStart w:id="223" w:name="_Toc277082567"/>
      <w:bookmarkStart w:id="224" w:name="_Toc509218725"/>
      <w:bookmarkStart w:id="225" w:name="_Toc430530450"/>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文件的组成</w:t>
      </w:r>
      <w:bookmarkEnd w:id="218"/>
      <w:bookmarkEnd w:id="219"/>
      <w:bookmarkEnd w:id="220"/>
      <w:bookmarkEnd w:id="221"/>
      <w:bookmarkEnd w:id="222"/>
      <w:bookmarkEnd w:id="223"/>
      <w:bookmarkEnd w:id="224"/>
      <w:bookmarkEnd w:id="225"/>
    </w:p>
    <w:p w14:paraId="027931AA">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文件包括：</w:t>
      </w:r>
    </w:p>
    <w:p w14:paraId="3CB9D415">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公告（或</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邀请书）；</w:t>
      </w:r>
    </w:p>
    <w:p w14:paraId="0A5B1675">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w:t>
      </w:r>
    </w:p>
    <w:p w14:paraId="73AB496E">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215F4C41">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4A8A19B9">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w:t>
      </w:r>
    </w:p>
    <w:p w14:paraId="4A94CA9F">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格式；</w:t>
      </w:r>
    </w:p>
    <w:p w14:paraId="4E14989D">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（7）</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须知前附表规定的其他材料。</w:t>
      </w:r>
    </w:p>
    <w:p w14:paraId="5A80334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文件所作的澄清、修改，构成</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文件的组成部分。</w:t>
      </w:r>
    </w:p>
    <w:p w14:paraId="01F12675">
      <w:pPr>
        <w:pStyle w:val="5"/>
        <w:adjustRightInd w:val="0"/>
        <w:snapToGrid w:val="0"/>
        <w:spacing w:before="0" w:after="0" w:line="360" w:lineRule="auto"/>
        <w:rPr>
          <w:rFonts w:ascii="宋体" w:hAnsi="宋体"/>
          <w:b w:val="0"/>
          <w:snapToGrid w:val="0"/>
          <w:color w:val="auto"/>
          <w:sz w:val="24"/>
          <w:szCs w:val="24"/>
          <w:highlight w:val="none"/>
        </w:rPr>
      </w:pPr>
      <w:bookmarkStart w:id="226" w:name="_Toc430530451"/>
      <w:bookmarkStart w:id="227" w:name="_Toc509218726"/>
      <w:bookmarkStart w:id="228" w:name="_Toc177985673"/>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文件的澄清</w:t>
      </w:r>
      <w:bookmarkEnd w:id="226"/>
      <w:bookmarkEnd w:id="227"/>
      <w:bookmarkEnd w:id="228"/>
    </w:p>
    <w:p w14:paraId="10D0C450">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文件的全部内容。如发现缺页或附件不全，应及时向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提出，以便补齐。如有疑问，应</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须知前附表规定的时间和形式提出问题，要求</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文件予以澄清。</w:t>
      </w:r>
    </w:p>
    <w:p w14:paraId="32A72937">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文件的澄清</w:t>
      </w:r>
      <w:r>
        <w:rPr>
          <w:rFonts w:hint="eastAsia" w:ascii="宋体" w:hAnsi="宋体"/>
          <w:snapToGrid w:val="0"/>
          <w:color w:val="auto"/>
          <w:kern w:val="0"/>
          <w:szCs w:val="21"/>
          <w:highlight w:val="none"/>
        </w:rPr>
        <w:t>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时间和</w:t>
      </w:r>
      <w:r>
        <w:rPr>
          <w:rFonts w:ascii="宋体" w:hAnsi="宋体"/>
          <w:snapToGrid w:val="0"/>
          <w:color w:val="auto"/>
          <w:kern w:val="0"/>
          <w:szCs w:val="21"/>
          <w:highlight w:val="none"/>
        </w:rPr>
        <w:t>形式发给所有</w:t>
      </w:r>
      <w:r>
        <w:rPr>
          <w:rFonts w:hint="eastAsia" w:ascii="宋体" w:hAnsi="宋体"/>
          <w:snapToGrid w:val="0"/>
          <w:color w:val="auto"/>
          <w:kern w:val="0"/>
          <w:szCs w:val="21"/>
          <w:highlight w:val="none"/>
        </w:rPr>
        <w:t>潜在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，但不指明澄清问题的来源。澄清发出的时间距本章第4.2.1项规定的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截止时间不足15日的，并且澄清内容可能影响</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编制的，将相应延长</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w:t>
      </w:r>
    </w:p>
    <w:p w14:paraId="3EBEFDB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投标人</w:t>
      </w:r>
      <w:r>
        <w:rPr>
          <w:rFonts w:ascii="宋体" w:hAnsi="宋体"/>
          <w:color w:val="auto"/>
          <w:kern w:val="0"/>
          <w:szCs w:val="21"/>
          <w:highlight w:val="none"/>
        </w:rPr>
        <w:t>在收到澄清后，应</w:t>
      </w:r>
      <w:r>
        <w:rPr>
          <w:rFonts w:hint="eastAsia" w:ascii="宋体" w:hAnsi="宋体"/>
          <w:color w:val="auto"/>
          <w:kern w:val="0"/>
          <w:szCs w:val="21"/>
          <w:highlight w:val="none"/>
        </w:rPr>
        <w:t>向</w:t>
      </w:r>
      <w:r>
        <w:rPr>
          <w:rFonts w:hint="eastAsia" w:ascii="宋体" w:hAnsi="宋体"/>
          <w:color w:val="auto"/>
          <w:kern w:val="0"/>
          <w:szCs w:val="21"/>
          <w:highlight w:val="none"/>
          <w:lang w:eastAsia="zh-CN"/>
        </w:rPr>
        <w:t>招标人</w:t>
      </w:r>
      <w:r>
        <w:rPr>
          <w:rFonts w:ascii="宋体" w:hAnsi="宋体"/>
          <w:color w:val="auto"/>
          <w:kern w:val="0"/>
          <w:szCs w:val="21"/>
          <w:highlight w:val="none"/>
        </w:rPr>
        <w:t>确认已收到该澄清。</w:t>
      </w:r>
      <w:r>
        <w:rPr>
          <w:rFonts w:hint="eastAsia" w:ascii="宋体" w:hAnsi="宋体"/>
          <w:color w:val="auto"/>
          <w:kern w:val="0"/>
          <w:szCs w:val="21"/>
          <w:highlight w:val="none"/>
          <w:lang w:eastAsia="zh-CN"/>
        </w:rPr>
        <w:t>招标人</w:t>
      </w:r>
      <w:r>
        <w:rPr>
          <w:rFonts w:hint="eastAsia" w:ascii="宋体" w:hAnsi="宋体"/>
          <w:color w:val="auto"/>
          <w:kern w:val="0"/>
          <w:szCs w:val="21"/>
          <w:highlight w:val="none"/>
        </w:rPr>
        <w:t>采用网络媒介公开发布澄清的，无论</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是否查看，均视为所有潜在</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清楚知晓澄清全部内容。</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应在</w:t>
      </w:r>
      <w:r>
        <w:rPr>
          <w:rFonts w:hint="eastAsia" w:ascii="宋体" w:hAnsi="宋体"/>
          <w:color w:val="auto"/>
          <w:kern w:val="0"/>
          <w:szCs w:val="21"/>
          <w:highlight w:val="none"/>
          <w:lang w:eastAsia="zh-CN"/>
        </w:rPr>
        <w:t>投标</w:t>
      </w:r>
      <w:r>
        <w:rPr>
          <w:rFonts w:hint="eastAsia" w:ascii="宋体" w:hAnsi="宋体"/>
          <w:color w:val="auto"/>
          <w:kern w:val="0"/>
          <w:szCs w:val="21"/>
          <w:highlight w:val="none"/>
        </w:rPr>
        <w:t>截止时间前密切关注澄清发布媒介发出的相关内容。</w:t>
      </w:r>
    </w:p>
    <w:p w14:paraId="1F5B4A3B">
      <w:pPr>
        <w:autoSpaceDE w:val="0"/>
        <w:autoSpaceDN w:val="0"/>
        <w:adjustRightInd w:val="0"/>
        <w:snapToGrid w:val="0"/>
        <w:spacing w:line="360" w:lineRule="auto"/>
        <w:ind w:firstLine="420" w:firstLineChars="200"/>
        <w:rPr>
          <w:rFonts w:ascii="宋体" w:hAnsi="宋体"/>
          <w:snapToGrid w:val="0"/>
          <w:color w:val="auto"/>
          <w:kern w:val="0"/>
          <w:position w:val="-2"/>
          <w:szCs w:val="21"/>
          <w:highlight w:val="none"/>
        </w:rPr>
      </w:pPr>
      <w:r>
        <w:rPr>
          <w:rFonts w:ascii="宋体" w:hAnsi="宋体"/>
          <w:snapToGrid w:val="0"/>
          <w:color w:val="auto"/>
          <w:kern w:val="0"/>
          <w:position w:val="-2"/>
          <w:szCs w:val="21"/>
          <w:highlight w:val="none"/>
        </w:rPr>
        <w:t>2.2.4  除非</w:t>
      </w:r>
      <w:r>
        <w:rPr>
          <w:rFonts w:hint="eastAsia" w:ascii="宋体" w:hAnsi="宋体"/>
          <w:snapToGrid w:val="0"/>
          <w:color w:val="auto"/>
          <w:kern w:val="0"/>
          <w:position w:val="-2"/>
          <w:szCs w:val="21"/>
          <w:highlight w:val="none"/>
          <w:lang w:eastAsia="zh-CN"/>
        </w:rPr>
        <w:t>招标人</w:t>
      </w:r>
      <w:r>
        <w:rPr>
          <w:rFonts w:ascii="宋体" w:hAnsi="宋体"/>
          <w:snapToGrid w:val="0"/>
          <w:color w:val="auto"/>
          <w:kern w:val="0"/>
          <w:position w:val="-2"/>
          <w:szCs w:val="21"/>
          <w:highlight w:val="none"/>
        </w:rPr>
        <w:t>认为确有必要答复，否则，</w:t>
      </w:r>
      <w:r>
        <w:rPr>
          <w:rFonts w:hint="eastAsia" w:ascii="宋体" w:hAnsi="宋体"/>
          <w:snapToGrid w:val="0"/>
          <w:color w:val="auto"/>
          <w:kern w:val="0"/>
          <w:position w:val="-2"/>
          <w:szCs w:val="21"/>
          <w:highlight w:val="none"/>
          <w:lang w:eastAsia="zh-CN"/>
        </w:rPr>
        <w:t>招标人</w:t>
      </w:r>
      <w:r>
        <w:rPr>
          <w:rFonts w:ascii="宋体" w:hAnsi="宋体"/>
          <w:snapToGrid w:val="0"/>
          <w:color w:val="auto"/>
          <w:kern w:val="0"/>
          <w:position w:val="-2"/>
          <w:szCs w:val="21"/>
          <w:highlight w:val="none"/>
        </w:rPr>
        <w:t>有权拒绝回复</w:t>
      </w:r>
      <w:r>
        <w:rPr>
          <w:rFonts w:hint="eastAsia" w:ascii="宋体" w:hAnsi="宋体"/>
          <w:snapToGrid w:val="0"/>
          <w:color w:val="auto"/>
          <w:kern w:val="0"/>
          <w:position w:val="-2"/>
          <w:szCs w:val="21"/>
          <w:highlight w:val="none"/>
          <w:lang w:eastAsia="zh-CN"/>
        </w:rPr>
        <w:t>投标人</w:t>
      </w:r>
      <w:r>
        <w:rPr>
          <w:rFonts w:ascii="宋体" w:hAnsi="宋体"/>
          <w:snapToGrid w:val="0"/>
          <w:color w:val="auto"/>
          <w:kern w:val="0"/>
          <w:position w:val="-2"/>
          <w:szCs w:val="21"/>
          <w:highlight w:val="none"/>
        </w:rPr>
        <w:t>在本章第2.2.1项规定的时间后的任何澄清要求。</w:t>
      </w:r>
    </w:p>
    <w:p w14:paraId="01CFB880">
      <w:pPr>
        <w:pStyle w:val="5"/>
        <w:adjustRightInd w:val="0"/>
        <w:snapToGrid w:val="0"/>
        <w:spacing w:before="0" w:after="0" w:line="360" w:lineRule="auto"/>
        <w:rPr>
          <w:rFonts w:ascii="宋体" w:hAnsi="宋体"/>
          <w:b w:val="0"/>
          <w:snapToGrid w:val="0"/>
          <w:color w:val="auto"/>
          <w:sz w:val="24"/>
          <w:szCs w:val="24"/>
          <w:highlight w:val="none"/>
        </w:rPr>
      </w:pPr>
      <w:bookmarkStart w:id="229" w:name="_Toc277082569"/>
      <w:bookmarkStart w:id="230" w:name="_Toc287607763"/>
      <w:bookmarkStart w:id="231" w:name="_Toc177985674"/>
      <w:bookmarkStart w:id="232" w:name="_Toc200513143"/>
      <w:bookmarkStart w:id="233" w:name="_Toc509218727"/>
      <w:bookmarkStart w:id="234" w:name="_Toc224103334"/>
      <w:bookmarkStart w:id="235" w:name="_Toc287620702"/>
      <w:bookmarkStart w:id="236" w:name="_Toc430530452"/>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文件的修改</w:t>
      </w:r>
      <w:bookmarkEnd w:id="229"/>
      <w:bookmarkEnd w:id="230"/>
      <w:bookmarkEnd w:id="231"/>
      <w:bookmarkEnd w:id="232"/>
      <w:bookmarkEnd w:id="233"/>
      <w:bookmarkEnd w:id="234"/>
      <w:bookmarkEnd w:id="235"/>
      <w:bookmarkEnd w:id="236"/>
    </w:p>
    <w:p w14:paraId="6D6B0BE7">
      <w:pPr>
        <w:autoSpaceDE w:val="0"/>
        <w:autoSpaceDN w:val="0"/>
        <w:adjustRightInd w:val="0"/>
        <w:snapToGrid w:val="0"/>
        <w:spacing w:line="360" w:lineRule="auto"/>
        <w:ind w:firstLine="420"/>
        <w:rPr>
          <w:rFonts w:ascii="宋体" w:hAnsi="宋体"/>
          <w:snapToGrid w:val="0"/>
          <w:color w:val="auto"/>
          <w:highlight w:val="none"/>
        </w:rPr>
      </w:pPr>
      <w:bookmarkStart w:id="237" w:name="_Toc287620703"/>
      <w:bookmarkStart w:id="238" w:name="_Toc224103335"/>
      <w:bookmarkStart w:id="239" w:name="_Toc200513144"/>
      <w:bookmarkStart w:id="240" w:name="_Toc287607764"/>
      <w:bookmarkStart w:id="241" w:name="_Toc277082570"/>
      <w:r>
        <w:rPr>
          <w:rFonts w:hint="eastAsia" w:ascii="宋体" w:hAnsi="宋体"/>
          <w:snapToGrid w:val="0"/>
          <w:color w:val="auto"/>
          <w:highlight w:val="none"/>
        </w:rPr>
        <w:t>2</w:t>
      </w:r>
      <w:r>
        <w:rPr>
          <w:rFonts w:ascii="宋体" w:hAnsi="宋体"/>
          <w:snapToGrid w:val="0"/>
          <w:color w:val="auto"/>
          <w:highlight w:val="none"/>
        </w:rPr>
        <w:t xml:space="preserve">.3.1  </w:t>
      </w:r>
      <w:r>
        <w:rPr>
          <w:rFonts w:hint="eastAsia" w:ascii="宋体" w:hAnsi="宋体"/>
          <w:snapToGrid w:val="0"/>
          <w:color w:val="auto"/>
          <w:highlight w:val="none"/>
          <w:lang w:eastAsia="zh-CN"/>
        </w:rPr>
        <w:t>招标</w:t>
      </w:r>
      <w:r>
        <w:rPr>
          <w:rFonts w:ascii="宋体" w:hAnsi="宋体"/>
          <w:snapToGrid w:val="0"/>
          <w:color w:val="auto"/>
          <w:highlight w:val="none"/>
        </w:rPr>
        <w:t>文件的</w:t>
      </w:r>
      <w:r>
        <w:rPr>
          <w:rFonts w:hint="eastAsia" w:ascii="宋体" w:hAnsi="宋体"/>
          <w:snapToGrid w:val="0"/>
          <w:color w:val="auto"/>
          <w:highlight w:val="none"/>
        </w:rPr>
        <w:t>修改</w:t>
      </w:r>
      <w:r>
        <w:rPr>
          <w:rFonts w:ascii="宋体" w:hAnsi="宋体"/>
          <w:snapToGrid w:val="0"/>
          <w:color w:val="auto"/>
          <w:highlight w:val="none"/>
        </w:rPr>
        <w:t>按</w:t>
      </w:r>
      <w:r>
        <w:rPr>
          <w:rFonts w:hint="eastAsia" w:ascii="宋体" w:hAnsi="宋体"/>
          <w:snapToGrid w:val="0"/>
          <w:color w:val="auto"/>
          <w:highlight w:val="none"/>
          <w:lang w:eastAsia="zh-CN"/>
        </w:rPr>
        <w:t>投标人</w:t>
      </w:r>
      <w:r>
        <w:rPr>
          <w:rFonts w:ascii="宋体" w:hAnsi="宋体"/>
          <w:snapToGrid w:val="0"/>
          <w:color w:val="auto"/>
          <w:highlight w:val="none"/>
        </w:rPr>
        <w:t>须知前附表规定的时间和形式发给所有潜在</w:t>
      </w:r>
      <w:r>
        <w:rPr>
          <w:rFonts w:hint="eastAsia" w:ascii="宋体" w:hAnsi="宋体"/>
          <w:snapToGrid w:val="0"/>
          <w:color w:val="auto"/>
          <w:highlight w:val="none"/>
          <w:lang w:eastAsia="zh-CN"/>
        </w:rPr>
        <w:t>投标人</w:t>
      </w:r>
      <w:r>
        <w:rPr>
          <w:rFonts w:hint="eastAsia" w:ascii="宋体" w:hAnsi="宋体"/>
          <w:snapToGrid w:val="0"/>
          <w:color w:val="auto"/>
          <w:highlight w:val="none"/>
        </w:rPr>
        <w:t>。</w:t>
      </w:r>
      <w:r>
        <w:rPr>
          <w:rFonts w:ascii="宋体" w:hAnsi="宋体"/>
          <w:snapToGrid w:val="0"/>
          <w:color w:val="auto"/>
          <w:highlight w:val="none"/>
        </w:rPr>
        <w:t>修改</w:t>
      </w:r>
      <w:r>
        <w:rPr>
          <w:rFonts w:hint="eastAsia" w:ascii="宋体" w:hAnsi="宋体"/>
          <w:snapToGrid w:val="0"/>
          <w:color w:val="auto"/>
          <w:highlight w:val="none"/>
          <w:lang w:eastAsia="zh-CN"/>
        </w:rPr>
        <w:t>招标</w:t>
      </w:r>
      <w:r>
        <w:rPr>
          <w:rFonts w:ascii="宋体" w:hAnsi="宋体"/>
          <w:snapToGrid w:val="0"/>
          <w:color w:val="auto"/>
          <w:highlight w:val="none"/>
        </w:rPr>
        <w:t>文件的时间距本章第4.2.1项规定的</w:t>
      </w:r>
      <w:r>
        <w:rPr>
          <w:rFonts w:hint="eastAsia" w:ascii="宋体" w:hAnsi="宋体"/>
          <w:snapToGrid w:val="0"/>
          <w:color w:val="auto"/>
          <w:highlight w:val="none"/>
          <w:lang w:eastAsia="zh-CN"/>
        </w:rPr>
        <w:t>投标</w:t>
      </w:r>
      <w:r>
        <w:rPr>
          <w:rFonts w:ascii="宋体" w:hAnsi="宋体"/>
          <w:snapToGrid w:val="0"/>
          <w:color w:val="auto"/>
          <w:highlight w:val="none"/>
        </w:rPr>
        <w:t>截止时间不足15日的，并且修改内容可能影响</w:t>
      </w:r>
      <w:r>
        <w:rPr>
          <w:rFonts w:hint="eastAsia" w:ascii="宋体" w:hAnsi="宋体"/>
          <w:snapToGrid w:val="0"/>
          <w:color w:val="auto"/>
          <w:highlight w:val="none"/>
          <w:lang w:eastAsia="zh-CN"/>
        </w:rPr>
        <w:t>投标文件</w:t>
      </w:r>
      <w:r>
        <w:rPr>
          <w:rFonts w:ascii="宋体" w:hAnsi="宋体"/>
          <w:snapToGrid w:val="0"/>
          <w:color w:val="auto"/>
          <w:highlight w:val="none"/>
        </w:rPr>
        <w:t>编制的，将相应延长</w:t>
      </w:r>
      <w:r>
        <w:rPr>
          <w:rFonts w:hint="eastAsia" w:ascii="宋体" w:hAnsi="宋体"/>
          <w:snapToGrid w:val="0"/>
          <w:color w:val="auto"/>
          <w:highlight w:val="none"/>
          <w:lang w:eastAsia="zh-CN"/>
        </w:rPr>
        <w:t>投标</w:t>
      </w:r>
      <w:r>
        <w:rPr>
          <w:rFonts w:ascii="宋体" w:hAnsi="宋体"/>
          <w:snapToGrid w:val="0"/>
          <w:color w:val="auto"/>
          <w:highlight w:val="none"/>
        </w:rPr>
        <w:t>截止时间。</w:t>
      </w:r>
    </w:p>
    <w:p w14:paraId="49EA5CCA">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2</w:t>
      </w:r>
      <w:r>
        <w:rPr>
          <w:rFonts w:ascii="宋体" w:hAnsi="宋体"/>
          <w:snapToGrid w:val="0"/>
          <w:color w:val="auto"/>
          <w:highlight w:val="none"/>
        </w:rPr>
        <w:t xml:space="preserve">.3.2  </w:t>
      </w:r>
      <w:r>
        <w:rPr>
          <w:rFonts w:hint="eastAsia" w:ascii="宋体" w:hAnsi="宋体"/>
          <w:snapToGrid w:val="0"/>
          <w:color w:val="auto"/>
          <w:highlight w:val="none"/>
          <w:lang w:eastAsia="zh-CN"/>
        </w:rPr>
        <w:t>投标人</w:t>
      </w:r>
      <w:r>
        <w:rPr>
          <w:rFonts w:ascii="宋体" w:hAnsi="宋体"/>
          <w:snapToGrid w:val="0"/>
          <w:color w:val="auto"/>
          <w:highlight w:val="none"/>
        </w:rPr>
        <w:t>在收到</w:t>
      </w:r>
      <w:r>
        <w:rPr>
          <w:rFonts w:hint="eastAsia" w:ascii="宋体" w:hAnsi="宋体"/>
          <w:snapToGrid w:val="0"/>
          <w:color w:val="auto"/>
          <w:highlight w:val="none"/>
        </w:rPr>
        <w:t>修改内容</w:t>
      </w:r>
      <w:r>
        <w:rPr>
          <w:rFonts w:ascii="宋体" w:hAnsi="宋体"/>
          <w:snapToGrid w:val="0"/>
          <w:color w:val="auto"/>
          <w:highlight w:val="none"/>
        </w:rPr>
        <w:t>后，应向</w:t>
      </w:r>
      <w:r>
        <w:rPr>
          <w:rFonts w:hint="eastAsia" w:ascii="宋体" w:hAnsi="宋体"/>
          <w:snapToGrid w:val="0"/>
          <w:color w:val="auto"/>
          <w:highlight w:val="none"/>
          <w:lang w:eastAsia="zh-CN"/>
        </w:rPr>
        <w:t>招标人</w:t>
      </w:r>
      <w:r>
        <w:rPr>
          <w:rFonts w:ascii="宋体" w:hAnsi="宋体"/>
          <w:snapToGrid w:val="0"/>
          <w:color w:val="auto"/>
          <w:highlight w:val="none"/>
        </w:rPr>
        <w:t>确认已收到该</w:t>
      </w:r>
      <w:r>
        <w:rPr>
          <w:rFonts w:hint="eastAsia" w:ascii="宋体" w:hAnsi="宋体"/>
          <w:snapToGrid w:val="0"/>
          <w:color w:val="auto"/>
          <w:highlight w:val="none"/>
        </w:rPr>
        <w:t>修改内容</w:t>
      </w:r>
      <w:r>
        <w:rPr>
          <w:rFonts w:ascii="宋体" w:hAnsi="宋体"/>
          <w:snapToGrid w:val="0"/>
          <w:color w:val="auto"/>
          <w:highlight w:val="none"/>
        </w:rPr>
        <w:t>。</w:t>
      </w:r>
      <w:r>
        <w:rPr>
          <w:rFonts w:hint="eastAsia" w:ascii="宋体" w:hAnsi="宋体"/>
          <w:snapToGrid w:val="0"/>
          <w:color w:val="auto"/>
          <w:highlight w:val="none"/>
          <w:lang w:eastAsia="zh-CN"/>
        </w:rPr>
        <w:t>招标人</w:t>
      </w:r>
      <w:r>
        <w:rPr>
          <w:rFonts w:hint="eastAsia" w:ascii="宋体" w:hAnsi="宋体"/>
          <w:snapToGrid w:val="0"/>
          <w:color w:val="auto"/>
          <w:highlight w:val="none"/>
        </w:rPr>
        <w:t>采用网络媒介公开发布修改内容的，无论</w:t>
      </w:r>
      <w:r>
        <w:rPr>
          <w:rFonts w:hint="eastAsia" w:ascii="宋体" w:hAnsi="宋体"/>
          <w:snapToGrid w:val="0"/>
          <w:color w:val="auto"/>
          <w:highlight w:val="none"/>
          <w:lang w:eastAsia="zh-CN"/>
        </w:rPr>
        <w:t>投标人</w:t>
      </w:r>
      <w:r>
        <w:rPr>
          <w:rFonts w:hint="eastAsia" w:ascii="宋体" w:hAnsi="宋体"/>
          <w:snapToGrid w:val="0"/>
          <w:color w:val="auto"/>
          <w:highlight w:val="none"/>
        </w:rPr>
        <w:t>是否查看，均视为所有潜在</w:t>
      </w:r>
      <w:r>
        <w:rPr>
          <w:rFonts w:hint="eastAsia" w:ascii="宋体" w:hAnsi="宋体"/>
          <w:snapToGrid w:val="0"/>
          <w:color w:val="auto"/>
          <w:highlight w:val="none"/>
          <w:lang w:eastAsia="zh-CN"/>
        </w:rPr>
        <w:t>投标人</w:t>
      </w:r>
      <w:r>
        <w:rPr>
          <w:rFonts w:hint="eastAsia" w:ascii="宋体" w:hAnsi="宋体"/>
          <w:snapToGrid w:val="0"/>
          <w:color w:val="auto"/>
          <w:highlight w:val="none"/>
        </w:rPr>
        <w:t>清楚知晓修改全部内容。</w:t>
      </w:r>
      <w:r>
        <w:rPr>
          <w:rFonts w:hint="eastAsia" w:ascii="宋体" w:hAnsi="宋体"/>
          <w:snapToGrid w:val="0"/>
          <w:color w:val="auto"/>
          <w:highlight w:val="none"/>
          <w:lang w:eastAsia="zh-CN"/>
        </w:rPr>
        <w:t>投标人</w:t>
      </w:r>
      <w:r>
        <w:rPr>
          <w:rFonts w:hint="eastAsia" w:ascii="宋体" w:hAnsi="宋体"/>
          <w:snapToGrid w:val="0"/>
          <w:color w:val="auto"/>
          <w:highlight w:val="none"/>
        </w:rPr>
        <w:t>应在</w:t>
      </w:r>
      <w:r>
        <w:rPr>
          <w:rFonts w:hint="eastAsia" w:ascii="宋体" w:hAnsi="宋体"/>
          <w:snapToGrid w:val="0"/>
          <w:color w:val="auto"/>
          <w:highlight w:val="none"/>
          <w:lang w:eastAsia="zh-CN"/>
        </w:rPr>
        <w:t>投标</w:t>
      </w:r>
      <w:r>
        <w:rPr>
          <w:rFonts w:hint="eastAsia" w:ascii="宋体" w:hAnsi="宋体"/>
          <w:snapToGrid w:val="0"/>
          <w:color w:val="auto"/>
          <w:highlight w:val="none"/>
        </w:rPr>
        <w:t>截止时间前密切关注修改发布媒介发出的相关内容。</w:t>
      </w:r>
    </w:p>
    <w:p w14:paraId="38E679F9">
      <w:pPr>
        <w:pStyle w:val="4"/>
        <w:adjustRightInd w:val="0"/>
        <w:snapToGrid w:val="0"/>
        <w:spacing w:before="0" w:after="0" w:line="360" w:lineRule="auto"/>
        <w:rPr>
          <w:rFonts w:ascii="宋体" w:hAnsi="宋体"/>
          <w:b w:val="0"/>
          <w:snapToGrid w:val="0"/>
          <w:color w:val="auto"/>
          <w:highlight w:val="none"/>
        </w:rPr>
      </w:pPr>
      <w:bookmarkStart w:id="242" w:name="_Toc509218728"/>
      <w:bookmarkStart w:id="243" w:name="_Toc430530453"/>
      <w:bookmarkStart w:id="244" w:name="_Toc177985675"/>
      <w:r>
        <w:rPr>
          <w:rFonts w:ascii="宋体" w:hAnsi="宋体"/>
          <w:b w:val="0"/>
          <w:snapToGrid w:val="0"/>
          <w:color w:val="auto"/>
          <w:highlight w:val="none"/>
        </w:rPr>
        <w:t xml:space="preserve">3.  </w:t>
      </w:r>
      <w:bookmarkEnd w:id="237"/>
      <w:bookmarkEnd w:id="238"/>
      <w:bookmarkEnd w:id="239"/>
      <w:bookmarkEnd w:id="240"/>
      <w:bookmarkEnd w:id="241"/>
      <w:bookmarkEnd w:id="242"/>
      <w:bookmarkEnd w:id="243"/>
      <w:bookmarkEnd w:id="244"/>
      <w:r>
        <w:rPr>
          <w:rFonts w:hint="eastAsia" w:ascii="宋体" w:hAnsi="宋体"/>
          <w:b w:val="0"/>
          <w:snapToGrid w:val="0"/>
          <w:color w:val="auto"/>
          <w:highlight w:val="none"/>
          <w:lang w:eastAsia="zh-CN"/>
        </w:rPr>
        <w:t>投标文件</w:t>
      </w:r>
    </w:p>
    <w:p w14:paraId="36F8F7D3">
      <w:pPr>
        <w:pStyle w:val="5"/>
        <w:adjustRightInd w:val="0"/>
        <w:snapToGrid w:val="0"/>
        <w:spacing w:before="0" w:after="0" w:line="360" w:lineRule="auto"/>
        <w:rPr>
          <w:rFonts w:ascii="宋体" w:hAnsi="宋体"/>
          <w:b w:val="0"/>
          <w:snapToGrid w:val="0"/>
          <w:color w:val="auto"/>
          <w:sz w:val="24"/>
          <w:szCs w:val="24"/>
          <w:highlight w:val="none"/>
        </w:rPr>
      </w:pPr>
      <w:bookmarkStart w:id="245" w:name="_Toc287607765"/>
      <w:bookmarkStart w:id="246" w:name="_Toc509218729"/>
      <w:bookmarkStart w:id="247" w:name="_Toc200513145"/>
      <w:bookmarkStart w:id="248" w:name="_Toc430530454"/>
      <w:bookmarkStart w:id="249" w:name="_Toc224103336"/>
      <w:bookmarkStart w:id="250" w:name="_Toc277082571"/>
      <w:bookmarkStart w:id="251" w:name="_Toc287620704"/>
      <w:bookmarkStart w:id="252" w:name="_Toc177985676"/>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的组成</w:t>
      </w:r>
      <w:bookmarkEnd w:id="245"/>
      <w:bookmarkEnd w:id="246"/>
      <w:bookmarkEnd w:id="247"/>
      <w:bookmarkEnd w:id="248"/>
      <w:bookmarkEnd w:id="249"/>
      <w:bookmarkEnd w:id="250"/>
      <w:bookmarkEnd w:id="251"/>
      <w:bookmarkEnd w:id="252"/>
    </w:p>
    <w:p w14:paraId="3A84BF2B">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3.1.1</w:t>
      </w:r>
      <w:r>
        <w:rPr>
          <w:rFonts w:hint="eastAsia" w:ascii="宋体" w:hAnsi="宋体"/>
          <w:snapToGrid w:val="0"/>
          <w:color w:val="auto"/>
          <w:highlight w:val="none"/>
        </w:rPr>
        <w:t xml:space="preserve">  </w:t>
      </w:r>
      <w:r>
        <w:rPr>
          <w:rFonts w:hint="eastAsia" w:ascii="宋体" w:hAnsi="宋体"/>
          <w:snapToGrid w:val="0"/>
          <w:color w:val="auto"/>
          <w:highlight w:val="none"/>
          <w:lang w:eastAsia="zh-CN"/>
        </w:rPr>
        <w:t>投标文件</w:t>
      </w:r>
      <w:r>
        <w:rPr>
          <w:rFonts w:ascii="宋体" w:hAnsi="宋体"/>
          <w:snapToGrid w:val="0"/>
          <w:color w:val="auto"/>
          <w:highlight w:val="none"/>
        </w:rPr>
        <w:t>应包括下列内容：</w:t>
      </w:r>
    </w:p>
    <w:p w14:paraId="6C4C3FA8">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3.1.1.1</w:t>
      </w:r>
      <w:r>
        <w:rPr>
          <w:rFonts w:hint="eastAsia" w:ascii="宋体" w:hAnsi="宋体"/>
          <w:snapToGrid w:val="0"/>
          <w:color w:val="auto"/>
          <w:highlight w:val="none"/>
          <w:lang w:eastAsia="zh-CN"/>
        </w:rPr>
        <w:t>投标</w:t>
      </w:r>
      <w:r>
        <w:rPr>
          <w:rFonts w:hint="eastAsia" w:ascii="宋体" w:hAnsi="宋体"/>
          <w:snapToGrid w:val="0"/>
          <w:color w:val="auto"/>
          <w:highlight w:val="none"/>
        </w:rPr>
        <w:t>函部分</w:t>
      </w:r>
    </w:p>
    <w:p w14:paraId="30B3400E">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ascii="宋体" w:hAnsi="宋体"/>
          <w:snapToGrid w:val="0"/>
          <w:color w:val="auto"/>
          <w:highlight w:val="none"/>
        </w:rPr>
        <w:t>2</w:t>
      </w:r>
      <w:r>
        <w:rPr>
          <w:rFonts w:hint="eastAsia" w:ascii="宋体" w:hAnsi="宋体"/>
          <w:snapToGrid w:val="0"/>
          <w:color w:val="auto"/>
          <w:highlight w:val="none"/>
        </w:rPr>
        <w:t>商务部分（不设置商务部分评审的不设此部分）</w:t>
      </w:r>
    </w:p>
    <w:p w14:paraId="16EE76D5">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ascii="宋体" w:hAnsi="宋体"/>
          <w:snapToGrid w:val="0"/>
          <w:color w:val="auto"/>
          <w:highlight w:val="none"/>
        </w:rPr>
        <w:t>3</w:t>
      </w:r>
      <w:r>
        <w:rPr>
          <w:rFonts w:hint="eastAsia" w:ascii="宋体" w:hAnsi="宋体"/>
          <w:snapToGrid w:val="0"/>
          <w:color w:val="auto"/>
          <w:highlight w:val="none"/>
        </w:rPr>
        <w:t>技术部分（不设置技术方案评审的不设此部分）</w:t>
      </w:r>
    </w:p>
    <w:p w14:paraId="55055500">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rPr>
        <w:t>3.1.1.</w:t>
      </w:r>
      <w:r>
        <w:rPr>
          <w:rFonts w:ascii="宋体" w:hAnsi="宋体"/>
          <w:snapToGrid w:val="0"/>
          <w:color w:val="auto"/>
          <w:highlight w:val="none"/>
        </w:rPr>
        <w:t>4</w:t>
      </w:r>
      <w:r>
        <w:rPr>
          <w:rFonts w:hint="eastAsia" w:ascii="宋体" w:hAnsi="宋体"/>
          <w:snapToGrid w:val="0"/>
          <w:color w:val="auto"/>
          <w:highlight w:val="none"/>
        </w:rPr>
        <w:t>资格审查部分</w:t>
      </w:r>
    </w:p>
    <w:p w14:paraId="11B5E91B">
      <w:pPr>
        <w:autoSpaceDE w:val="0"/>
        <w:autoSpaceDN w:val="0"/>
        <w:adjustRightInd w:val="0"/>
        <w:snapToGrid w:val="0"/>
        <w:spacing w:line="360" w:lineRule="auto"/>
        <w:ind w:firstLine="420"/>
        <w:rPr>
          <w:rFonts w:ascii="宋体" w:hAnsi="宋体"/>
          <w:snapToGrid w:val="0"/>
          <w:color w:val="auto"/>
          <w:highlight w:val="none"/>
        </w:rPr>
      </w:pPr>
      <w:r>
        <w:rPr>
          <w:rFonts w:hint="eastAsia" w:ascii="宋体" w:hAnsi="宋体"/>
          <w:snapToGrid w:val="0"/>
          <w:color w:val="auto"/>
          <w:highlight w:val="none"/>
          <w:lang w:eastAsia="zh-CN"/>
        </w:rPr>
        <w:t>投标人</w:t>
      </w:r>
      <w:r>
        <w:rPr>
          <w:rFonts w:ascii="宋体" w:hAnsi="宋体"/>
          <w:snapToGrid w:val="0"/>
          <w:color w:val="auto"/>
          <w:highlight w:val="none"/>
        </w:rPr>
        <w:t>在评标过程中作出的符合法律法规和</w:t>
      </w:r>
      <w:r>
        <w:rPr>
          <w:rFonts w:hint="eastAsia" w:ascii="宋体" w:hAnsi="宋体"/>
          <w:snapToGrid w:val="0"/>
          <w:color w:val="auto"/>
          <w:highlight w:val="none"/>
          <w:lang w:eastAsia="zh-CN"/>
        </w:rPr>
        <w:t>招标</w:t>
      </w:r>
      <w:r>
        <w:rPr>
          <w:rFonts w:ascii="宋体" w:hAnsi="宋体"/>
          <w:snapToGrid w:val="0"/>
          <w:color w:val="auto"/>
          <w:highlight w:val="none"/>
        </w:rPr>
        <w:t>文件规定的澄清确认，构成</w:t>
      </w:r>
      <w:r>
        <w:rPr>
          <w:rFonts w:hint="eastAsia" w:ascii="宋体" w:hAnsi="宋体"/>
          <w:snapToGrid w:val="0"/>
          <w:color w:val="auto"/>
          <w:highlight w:val="none"/>
          <w:lang w:eastAsia="zh-CN"/>
        </w:rPr>
        <w:t>投标文件</w:t>
      </w:r>
      <w:r>
        <w:rPr>
          <w:rFonts w:ascii="宋体" w:hAnsi="宋体"/>
          <w:snapToGrid w:val="0"/>
          <w:color w:val="auto"/>
          <w:highlight w:val="none"/>
        </w:rPr>
        <w:t>的组成部分。</w:t>
      </w:r>
    </w:p>
    <w:p w14:paraId="01137789">
      <w:pPr>
        <w:autoSpaceDE w:val="0"/>
        <w:autoSpaceDN w:val="0"/>
        <w:adjustRightInd w:val="0"/>
        <w:snapToGrid w:val="0"/>
        <w:spacing w:line="360" w:lineRule="auto"/>
        <w:ind w:firstLine="420"/>
        <w:rPr>
          <w:rFonts w:ascii="宋体" w:hAnsi="宋体"/>
          <w:snapToGrid w:val="0"/>
          <w:color w:val="auto"/>
          <w:highlight w:val="none"/>
        </w:rPr>
      </w:pPr>
      <w:r>
        <w:rPr>
          <w:rFonts w:ascii="宋体" w:hAnsi="宋体"/>
          <w:snapToGrid w:val="0"/>
          <w:color w:val="auto"/>
          <w:highlight w:val="none"/>
        </w:rPr>
        <w:t>3.1.2</w:t>
      </w:r>
      <w:r>
        <w:rPr>
          <w:rFonts w:hint="eastAsia" w:ascii="宋体" w:hAnsi="宋体"/>
          <w:snapToGrid w:val="0"/>
          <w:color w:val="auto"/>
          <w:highlight w:val="none"/>
        </w:rPr>
        <w:t xml:space="preserve">  </w:t>
      </w:r>
      <w:r>
        <w:rPr>
          <w:rFonts w:hint="eastAsia" w:ascii="宋体" w:hAnsi="宋体"/>
          <w:snapToGrid w:val="0"/>
          <w:color w:val="auto"/>
          <w:highlight w:val="none"/>
          <w:lang w:eastAsia="zh-CN"/>
        </w:rPr>
        <w:t>投标人</w:t>
      </w:r>
      <w:r>
        <w:rPr>
          <w:rFonts w:ascii="宋体" w:hAnsi="宋体"/>
          <w:snapToGrid w:val="0"/>
          <w:color w:val="auto"/>
          <w:highlight w:val="none"/>
        </w:rPr>
        <w:t>须知前附表规定不接受联合体</w:t>
      </w:r>
      <w:r>
        <w:rPr>
          <w:rFonts w:hint="eastAsia" w:ascii="宋体" w:hAnsi="宋体"/>
          <w:snapToGrid w:val="0"/>
          <w:color w:val="auto"/>
          <w:highlight w:val="none"/>
          <w:lang w:eastAsia="zh-CN"/>
        </w:rPr>
        <w:t>投标</w:t>
      </w:r>
      <w:r>
        <w:rPr>
          <w:rFonts w:ascii="宋体" w:hAnsi="宋体"/>
          <w:snapToGrid w:val="0"/>
          <w:color w:val="auto"/>
          <w:highlight w:val="none"/>
        </w:rPr>
        <w:t>的，或</w:t>
      </w:r>
      <w:r>
        <w:rPr>
          <w:rFonts w:hint="eastAsia" w:ascii="宋体" w:hAnsi="宋体"/>
          <w:snapToGrid w:val="0"/>
          <w:color w:val="auto"/>
          <w:highlight w:val="none"/>
          <w:lang w:eastAsia="zh-CN"/>
        </w:rPr>
        <w:t>投标人</w:t>
      </w:r>
      <w:r>
        <w:rPr>
          <w:rFonts w:ascii="宋体" w:hAnsi="宋体"/>
          <w:snapToGrid w:val="0"/>
          <w:color w:val="auto"/>
          <w:highlight w:val="none"/>
        </w:rPr>
        <w:t>没有组成联合体的，</w:t>
      </w:r>
      <w:r>
        <w:rPr>
          <w:rFonts w:hint="eastAsia" w:ascii="宋体" w:hAnsi="宋体"/>
          <w:snapToGrid w:val="0"/>
          <w:color w:val="auto"/>
          <w:highlight w:val="none"/>
          <w:lang w:eastAsia="zh-CN"/>
        </w:rPr>
        <w:t>投标文件</w:t>
      </w:r>
      <w:r>
        <w:rPr>
          <w:rFonts w:ascii="宋体" w:hAnsi="宋体"/>
          <w:snapToGrid w:val="0"/>
          <w:color w:val="auto"/>
          <w:highlight w:val="none"/>
        </w:rPr>
        <w:t>不包括联合体协议书。</w:t>
      </w:r>
    </w:p>
    <w:p w14:paraId="48CA3834">
      <w:pPr>
        <w:pStyle w:val="5"/>
        <w:adjustRightInd w:val="0"/>
        <w:snapToGrid w:val="0"/>
        <w:spacing w:before="0" w:after="0" w:line="360" w:lineRule="auto"/>
        <w:rPr>
          <w:rFonts w:ascii="宋体" w:hAnsi="宋体"/>
          <w:b w:val="0"/>
          <w:snapToGrid w:val="0"/>
          <w:color w:val="auto"/>
          <w:sz w:val="24"/>
          <w:szCs w:val="24"/>
          <w:highlight w:val="none"/>
        </w:rPr>
      </w:pPr>
      <w:bookmarkStart w:id="253" w:name="_Toc287607766"/>
      <w:bookmarkStart w:id="254" w:name="_Toc200513146"/>
      <w:bookmarkStart w:id="255" w:name="_Toc224103337"/>
      <w:bookmarkStart w:id="256" w:name="_Toc177985677"/>
      <w:bookmarkStart w:id="257" w:name="_Toc430530455"/>
      <w:bookmarkStart w:id="258" w:name="_Toc287620705"/>
      <w:bookmarkStart w:id="259" w:name="_Toc277082572"/>
      <w:bookmarkStart w:id="260" w:name="_Toc509218730"/>
      <w:r>
        <w:rPr>
          <w:rFonts w:ascii="宋体" w:hAnsi="宋体"/>
          <w:b w:val="0"/>
          <w:snapToGrid w:val="0"/>
          <w:color w:val="auto"/>
          <w:sz w:val="24"/>
          <w:szCs w:val="24"/>
          <w:highlight w:val="none"/>
        </w:rPr>
        <w:t xml:space="preserve">3.2  </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报价</w:t>
      </w:r>
      <w:bookmarkEnd w:id="253"/>
      <w:bookmarkEnd w:id="254"/>
      <w:bookmarkEnd w:id="255"/>
      <w:bookmarkEnd w:id="256"/>
      <w:bookmarkEnd w:id="257"/>
      <w:bookmarkEnd w:id="258"/>
      <w:bookmarkEnd w:id="259"/>
      <w:bookmarkEnd w:id="260"/>
    </w:p>
    <w:p w14:paraId="7771E54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报价应包括国家规定的增值税税金，除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须知前附表另有规定外，增值税税金按一般计税方法计算。</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应按第六章“</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格式”的要求在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函中进行报价并填写费用清单。</w:t>
      </w:r>
    </w:p>
    <w:p w14:paraId="7BA24F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应充分了解该项目的总体情况以及影响</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报价的其他要素。</w:t>
      </w:r>
    </w:p>
    <w:p w14:paraId="6529C1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3.2.3  本项目的报价方式见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截止时间前修改</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函中的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报价总额，应同时修改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“费用清单”中的相应报价。此修改须符合本章第 4.3 款的有关要求。</w:t>
      </w:r>
    </w:p>
    <w:p w14:paraId="774D03F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3.2.4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设有最高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限价的，</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报价不得超过最高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限价，最高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限价在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须知前附表中载明。</w:t>
      </w:r>
    </w:p>
    <w:p w14:paraId="17494526">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snapToGrid w:val="0"/>
          <w:color w:val="auto"/>
          <w:kern w:val="0"/>
          <w:szCs w:val="21"/>
          <w:highlight w:val="none"/>
        </w:rPr>
        <w:t xml:space="preserve">3.2.5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报价的其他要求见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F3BABA9">
      <w:pPr>
        <w:pStyle w:val="5"/>
        <w:adjustRightInd w:val="0"/>
        <w:snapToGrid w:val="0"/>
        <w:spacing w:before="0" w:after="0" w:line="360" w:lineRule="auto"/>
        <w:rPr>
          <w:rFonts w:ascii="宋体" w:hAnsi="宋体"/>
          <w:b w:val="0"/>
          <w:snapToGrid w:val="0"/>
          <w:color w:val="auto"/>
          <w:sz w:val="24"/>
          <w:szCs w:val="24"/>
          <w:highlight w:val="none"/>
        </w:rPr>
      </w:pPr>
      <w:bookmarkStart w:id="261" w:name="_Toc287620706"/>
      <w:bookmarkStart w:id="262" w:name="_Toc509218731"/>
      <w:bookmarkStart w:id="263" w:name="_Toc177985678"/>
      <w:bookmarkStart w:id="264" w:name="_Toc200513147"/>
      <w:bookmarkStart w:id="265" w:name="_Toc224103338"/>
      <w:bookmarkStart w:id="266" w:name="_Toc430530456"/>
      <w:bookmarkStart w:id="267" w:name="_Toc277082573"/>
      <w:bookmarkStart w:id="268" w:name="_Toc287607767"/>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有效期</w:t>
      </w:r>
      <w:bookmarkEnd w:id="261"/>
      <w:bookmarkEnd w:id="262"/>
      <w:bookmarkEnd w:id="263"/>
      <w:bookmarkEnd w:id="264"/>
      <w:bookmarkEnd w:id="265"/>
      <w:bookmarkEnd w:id="266"/>
      <w:bookmarkEnd w:id="267"/>
      <w:bookmarkEnd w:id="268"/>
    </w:p>
    <w:p w14:paraId="21F0F1E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3.3.1  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有效期为</w:t>
      </w:r>
      <w:r>
        <w:rPr>
          <w:rFonts w:hint="eastAsia" w:ascii="宋体" w:hAnsi="宋体"/>
          <w:snapToGrid w:val="0"/>
          <w:color w:val="auto"/>
          <w:kern w:val="0"/>
          <w:szCs w:val="21"/>
          <w:highlight w:val="none"/>
        </w:rPr>
        <w:t>90</w:t>
      </w:r>
      <w:r>
        <w:rPr>
          <w:rFonts w:ascii="宋体" w:hAnsi="宋体"/>
          <w:snapToGrid w:val="0"/>
          <w:color w:val="auto"/>
          <w:kern w:val="0"/>
          <w:szCs w:val="21"/>
          <w:highlight w:val="none"/>
        </w:rPr>
        <w:t>天。</w:t>
      </w:r>
    </w:p>
    <w:p w14:paraId="0E286D4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snapToGrid w:val="0"/>
          <w:color w:val="auto"/>
          <w:kern w:val="0"/>
          <w:szCs w:val="21"/>
          <w:highlight w:val="none"/>
        </w:rPr>
        <w:t>3.3.2  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撤销</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的，应承担</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文件和法律规定的责任。</w:t>
      </w:r>
    </w:p>
    <w:p w14:paraId="45A07884">
      <w:pPr>
        <w:autoSpaceDE w:val="0"/>
        <w:autoSpaceDN w:val="0"/>
        <w:adjustRightInd w:val="0"/>
        <w:snapToGrid w:val="0"/>
        <w:spacing w:line="360" w:lineRule="auto"/>
        <w:ind w:firstLine="420" w:firstLineChars="20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3.3.3  </w:t>
      </w: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有效期的，</w:t>
      </w:r>
      <w:r>
        <w:rPr>
          <w:rFonts w:hint="eastAsia" w:ascii="宋体" w:hAnsi="宋体" w:cs="MingLiU"/>
          <w:snapToGrid w:val="0"/>
          <w:color w:val="auto"/>
          <w:kern w:val="0"/>
          <w:szCs w:val="21"/>
          <w:highlight w:val="none"/>
          <w:lang w:eastAsia="zh-CN"/>
        </w:rPr>
        <w:t>招标人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同意延长的，应相应延长其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投标文件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拒绝延长的，其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投标人</w:t>
      </w:r>
      <w:r>
        <w:rPr>
          <w:rFonts w:hint="eastAsia" w:ascii="宋体" w:hAnsi="宋体" w:cs="MingLiU"/>
          <w:snapToGrid w:val="0"/>
          <w:color w:val="auto"/>
          <w:kern w:val="0"/>
          <w:szCs w:val="21"/>
          <w:highlight w:val="none"/>
        </w:rPr>
        <w:t>有权收回其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w:t>
      </w:r>
    </w:p>
    <w:p w14:paraId="0EE3D884">
      <w:pPr>
        <w:pStyle w:val="5"/>
        <w:adjustRightInd w:val="0"/>
        <w:snapToGrid w:val="0"/>
        <w:spacing w:before="0" w:after="0" w:line="360" w:lineRule="auto"/>
        <w:rPr>
          <w:rFonts w:ascii="宋体" w:hAnsi="宋体"/>
          <w:b w:val="0"/>
          <w:snapToGrid w:val="0"/>
          <w:color w:val="auto"/>
          <w:sz w:val="24"/>
          <w:szCs w:val="24"/>
          <w:highlight w:val="none"/>
        </w:rPr>
      </w:pPr>
      <w:bookmarkStart w:id="269" w:name="_Toc287620707"/>
      <w:bookmarkStart w:id="270" w:name="_Toc277082574"/>
      <w:bookmarkStart w:id="271" w:name="_Toc287607768"/>
      <w:bookmarkStart w:id="272" w:name="_Toc200513148"/>
      <w:bookmarkStart w:id="273" w:name="_Toc509218732"/>
      <w:bookmarkStart w:id="274" w:name="_Toc430530457"/>
      <w:bookmarkStart w:id="275" w:name="_Toc224103339"/>
      <w:bookmarkStart w:id="276" w:name="_Toc177985679"/>
      <w:r>
        <w:rPr>
          <w:rFonts w:ascii="宋体" w:hAnsi="宋体"/>
          <w:b w:val="0"/>
          <w:snapToGrid w:val="0"/>
          <w:color w:val="auto"/>
          <w:sz w:val="24"/>
          <w:szCs w:val="24"/>
          <w:highlight w:val="none"/>
        </w:rPr>
        <w:t xml:space="preserve">3.4  </w:t>
      </w:r>
      <w:bookmarkEnd w:id="269"/>
      <w:bookmarkEnd w:id="270"/>
      <w:bookmarkEnd w:id="271"/>
      <w:bookmarkEnd w:id="272"/>
      <w:bookmarkEnd w:id="273"/>
      <w:bookmarkEnd w:id="274"/>
      <w:bookmarkEnd w:id="275"/>
      <w:r>
        <w:rPr>
          <w:rFonts w:hint="eastAsia" w:ascii="宋体" w:hAnsi="宋体"/>
          <w:b w:val="0"/>
          <w:snapToGrid w:val="0"/>
          <w:color w:val="auto"/>
          <w:sz w:val="24"/>
          <w:szCs w:val="24"/>
          <w:highlight w:val="none"/>
          <w:lang w:eastAsia="zh-CN"/>
        </w:rPr>
        <w:t>投标</w:t>
      </w:r>
      <w:r>
        <w:rPr>
          <w:rFonts w:hint="eastAsia" w:ascii="宋体" w:hAnsi="宋体"/>
          <w:b w:val="0"/>
          <w:snapToGrid w:val="0"/>
          <w:color w:val="auto"/>
          <w:sz w:val="24"/>
          <w:szCs w:val="24"/>
          <w:highlight w:val="none"/>
        </w:rPr>
        <w:t>保证金</w:t>
      </w:r>
      <w:bookmarkEnd w:id="276"/>
    </w:p>
    <w:p w14:paraId="1FED391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须知前附表的规定递交</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的组成部分。联合体</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的，其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保证金由牵头人递交，并应符合</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须知前附表的规定。</w:t>
      </w:r>
    </w:p>
    <w:p w14:paraId="23C5D189">
      <w:pPr>
        <w:autoSpaceDE w:val="0"/>
        <w:autoSpaceDN w:val="0"/>
        <w:adjustRightInd w:val="0"/>
        <w:snapToGrid w:val="0"/>
        <w:spacing w:line="360" w:lineRule="auto"/>
        <w:ind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不按本章第3.4.1项要求提交</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保证金的，其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作否决处理。</w:t>
      </w:r>
    </w:p>
    <w:p w14:paraId="58166B36">
      <w:pPr>
        <w:autoSpaceDE w:val="0"/>
        <w:autoSpaceDN w:val="0"/>
        <w:adjustRightInd w:val="0"/>
        <w:snapToGrid w:val="0"/>
        <w:spacing w:line="360" w:lineRule="auto"/>
        <w:ind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3.4.3  </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保证金退还：见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3CE5C9A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保证金将不予退还：</w:t>
      </w:r>
    </w:p>
    <w:p w14:paraId="699C86E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有效期内撤销其</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w:t>
      </w:r>
    </w:p>
    <w:p w14:paraId="5B80C3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人在收到</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通知书后，无正当理由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订立合同，</w:t>
      </w:r>
      <w:r>
        <w:rPr>
          <w:rFonts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提出附加条件，或者不按照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文件要求提交履约保证金；</w:t>
      </w:r>
    </w:p>
    <w:p w14:paraId="638EC61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）发生</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须知前附表规定的其他可以不予退还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保证金的情形。</w:t>
      </w:r>
    </w:p>
    <w:p w14:paraId="09EE2A5C">
      <w:pPr>
        <w:pStyle w:val="5"/>
        <w:adjustRightInd w:val="0"/>
        <w:snapToGrid w:val="0"/>
        <w:spacing w:before="0" w:after="0" w:line="360" w:lineRule="auto"/>
        <w:rPr>
          <w:rFonts w:ascii="宋体" w:hAnsi="宋体"/>
          <w:b w:val="0"/>
          <w:snapToGrid w:val="0"/>
          <w:color w:val="auto"/>
          <w:sz w:val="24"/>
          <w:szCs w:val="24"/>
          <w:highlight w:val="none"/>
        </w:rPr>
      </w:pPr>
      <w:bookmarkStart w:id="277" w:name="_Toc430530458"/>
      <w:bookmarkStart w:id="278" w:name="_Toc287607769"/>
      <w:bookmarkStart w:id="279" w:name="_Toc200513149"/>
      <w:bookmarkStart w:id="280" w:name="_Toc177985680"/>
      <w:bookmarkStart w:id="281" w:name="_Toc509218733"/>
      <w:bookmarkStart w:id="282" w:name="_Toc277082575"/>
      <w:bookmarkStart w:id="283" w:name="_Toc287620708"/>
      <w:bookmarkStart w:id="284" w:name="_Toc224103340"/>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资格审查资料</w:t>
      </w:r>
      <w:bookmarkEnd w:id="277"/>
      <w:bookmarkEnd w:id="278"/>
      <w:bookmarkEnd w:id="279"/>
      <w:bookmarkEnd w:id="280"/>
      <w:bookmarkEnd w:id="281"/>
      <w:bookmarkEnd w:id="282"/>
      <w:bookmarkEnd w:id="283"/>
      <w:bookmarkEnd w:id="284"/>
    </w:p>
    <w:p w14:paraId="729D9E7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前，发生可能影响其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资格的新情况的，应更新或补充其在申请资格预审时提供的资料，以证实其各项资格条件仍能继续满足资格预审文件的要求，且没有实质性降低。</w:t>
      </w:r>
    </w:p>
    <w:p w14:paraId="36ADEA96">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[提示：适用于已进行资格预审的。]</w:t>
      </w:r>
    </w:p>
    <w:p w14:paraId="6953AA54">
      <w:pPr>
        <w:pStyle w:val="5"/>
        <w:adjustRightInd w:val="0"/>
        <w:snapToGrid w:val="0"/>
        <w:spacing w:before="0" w:after="0" w:line="360" w:lineRule="auto"/>
        <w:rPr>
          <w:rFonts w:ascii="宋体" w:hAnsi="宋体"/>
          <w:b w:val="0"/>
          <w:snapToGrid w:val="0"/>
          <w:color w:val="auto"/>
          <w:sz w:val="24"/>
          <w:szCs w:val="24"/>
          <w:highlight w:val="none"/>
        </w:rPr>
      </w:pPr>
      <w:bookmarkStart w:id="285" w:name="_Toc224103341"/>
      <w:bookmarkStart w:id="286" w:name="_Toc287607770"/>
      <w:bookmarkStart w:id="287" w:name="_Toc287620709"/>
      <w:bookmarkStart w:id="288" w:name="_Toc200513150"/>
      <w:bookmarkStart w:id="289" w:name="_Toc177985681"/>
      <w:bookmarkStart w:id="290" w:name="_Toc277082576"/>
      <w:bookmarkStart w:id="291" w:name="_Toc509218734"/>
      <w:bookmarkStart w:id="292" w:name="_Toc430530459"/>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资格审查资料</w:t>
      </w:r>
      <w:bookmarkEnd w:id="285"/>
      <w:bookmarkEnd w:id="286"/>
      <w:bookmarkEnd w:id="287"/>
      <w:bookmarkEnd w:id="288"/>
      <w:bookmarkEnd w:id="289"/>
      <w:bookmarkEnd w:id="290"/>
      <w:bookmarkEnd w:id="291"/>
      <w:bookmarkEnd w:id="292"/>
    </w:p>
    <w:p w14:paraId="5F4BC2DE">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应附</w:t>
      </w:r>
      <w:r>
        <w:rPr>
          <w:rFonts w:hint="eastAsia" w:ascii="宋体" w:hAnsi="宋体"/>
          <w:color w:val="auto"/>
          <w:kern w:val="0"/>
          <w:szCs w:val="21"/>
          <w:highlight w:val="none"/>
          <w:lang w:eastAsia="zh-CN"/>
        </w:rPr>
        <w:t>投标人</w:t>
      </w:r>
      <w:r>
        <w:rPr>
          <w:rFonts w:hint="eastAsia" w:ascii="宋体" w:hAnsi="宋体"/>
          <w:color w:val="auto"/>
          <w:kern w:val="0"/>
          <w:szCs w:val="21"/>
          <w:highlight w:val="none"/>
        </w:rPr>
        <w:t>须知前附表第1</w:t>
      </w:r>
      <w:r>
        <w:rPr>
          <w:rFonts w:ascii="宋体" w:hAnsi="宋体"/>
          <w:color w:val="auto"/>
          <w:kern w:val="0"/>
          <w:szCs w:val="21"/>
          <w:highlight w:val="none"/>
        </w:rPr>
        <w:t>.4.1项</w:t>
      </w:r>
      <w:r>
        <w:rPr>
          <w:rFonts w:hint="eastAsia" w:ascii="宋体" w:hAnsi="宋体"/>
          <w:color w:val="auto"/>
          <w:kern w:val="0"/>
          <w:szCs w:val="21"/>
          <w:highlight w:val="none"/>
        </w:rPr>
        <w:t>中要求的相关证明材料</w:t>
      </w:r>
      <w:r>
        <w:rPr>
          <w:rFonts w:ascii="宋体" w:hAnsi="宋体"/>
          <w:color w:val="auto"/>
          <w:szCs w:val="21"/>
          <w:highlight w:val="none"/>
        </w:rPr>
        <w:t>。</w:t>
      </w:r>
    </w:p>
    <w:p w14:paraId="2E7F010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须知前附表规定接受联合体</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的，详见</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须知前附表联合体</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相关内容。</w:t>
      </w:r>
    </w:p>
    <w:p w14:paraId="7CF0590D">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[提示：适用于未进行资格预审的。]</w:t>
      </w:r>
    </w:p>
    <w:p w14:paraId="5594219E">
      <w:pPr>
        <w:pStyle w:val="5"/>
        <w:adjustRightInd w:val="0"/>
        <w:snapToGrid w:val="0"/>
        <w:spacing w:before="0" w:after="0" w:line="360" w:lineRule="auto"/>
        <w:rPr>
          <w:rFonts w:ascii="宋体" w:hAnsi="宋体"/>
          <w:b w:val="0"/>
          <w:snapToGrid w:val="0"/>
          <w:color w:val="auto"/>
          <w:sz w:val="24"/>
          <w:szCs w:val="24"/>
          <w:highlight w:val="none"/>
        </w:rPr>
      </w:pPr>
      <w:bookmarkStart w:id="293" w:name="_Toc287620710"/>
      <w:bookmarkStart w:id="294" w:name="_Toc200513151"/>
      <w:bookmarkStart w:id="295" w:name="_Toc177985682"/>
      <w:bookmarkStart w:id="296" w:name="_Toc509218735"/>
      <w:bookmarkStart w:id="297" w:name="_Toc287607771"/>
      <w:bookmarkStart w:id="298" w:name="_Toc430530460"/>
      <w:bookmarkStart w:id="299" w:name="_Toc224103342"/>
      <w:bookmarkStart w:id="300" w:name="_Toc277082577"/>
      <w:r>
        <w:rPr>
          <w:rFonts w:ascii="宋体" w:hAnsi="宋体"/>
          <w:b w:val="0"/>
          <w:snapToGrid w:val="0"/>
          <w:color w:val="auto"/>
          <w:sz w:val="24"/>
          <w:szCs w:val="24"/>
          <w:highlight w:val="none"/>
        </w:rPr>
        <w:t>3.6  备选</w:t>
      </w:r>
      <w:r>
        <w:rPr>
          <w:rFonts w:hint="eastAsia" w:ascii="宋体" w:hAnsi="宋体"/>
          <w:b w:val="0"/>
          <w:snapToGrid w:val="0"/>
          <w:color w:val="auto"/>
          <w:sz w:val="24"/>
          <w:szCs w:val="24"/>
          <w:highlight w:val="none"/>
          <w:lang w:eastAsia="zh-CN"/>
        </w:rPr>
        <w:t>投标</w:t>
      </w:r>
      <w:r>
        <w:rPr>
          <w:rFonts w:ascii="宋体" w:hAnsi="宋体"/>
          <w:b w:val="0"/>
          <w:snapToGrid w:val="0"/>
          <w:color w:val="auto"/>
          <w:sz w:val="24"/>
          <w:szCs w:val="24"/>
          <w:highlight w:val="none"/>
        </w:rPr>
        <w:t>方案</w:t>
      </w:r>
      <w:bookmarkEnd w:id="293"/>
      <w:bookmarkEnd w:id="294"/>
      <w:bookmarkEnd w:id="295"/>
      <w:bookmarkEnd w:id="296"/>
      <w:bookmarkEnd w:id="297"/>
      <w:bookmarkEnd w:id="298"/>
      <w:bookmarkEnd w:id="299"/>
      <w:bookmarkEnd w:id="300"/>
    </w:p>
    <w:p w14:paraId="6F3AD47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.6.1  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须知前附表规定允许外，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不得递交备选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方案，否则其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将被否决。</w:t>
      </w:r>
    </w:p>
    <w:p w14:paraId="42D1F18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.6.2  允许</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递交备选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方案的，只有</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人所递交的备选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方案方可予以考虑。评标委员会认为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人的备选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方案优于其按照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文件要求编制的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可以接受该备选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方案。</w:t>
      </w:r>
    </w:p>
    <w:p w14:paraId="3E4D80F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 xml:space="preserve">.6.3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提供两个或两个以上</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报价，或者在</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中提供一个报价，但同时提供两个或两个以上方案的，视为提供备选方案。</w:t>
      </w:r>
    </w:p>
    <w:p w14:paraId="224E0A8A">
      <w:pPr>
        <w:pStyle w:val="5"/>
        <w:adjustRightInd w:val="0"/>
        <w:snapToGrid w:val="0"/>
        <w:spacing w:before="0" w:after="0" w:line="360" w:lineRule="auto"/>
        <w:rPr>
          <w:rFonts w:ascii="宋体" w:hAnsi="宋体"/>
          <w:b w:val="0"/>
          <w:snapToGrid w:val="0"/>
          <w:color w:val="auto"/>
          <w:sz w:val="24"/>
          <w:szCs w:val="24"/>
          <w:highlight w:val="none"/>
        </w:rPr>
      </w:pPr>
      <w:bookmarkStart w:id="301" w:name="_Toc224103343"/>
      <w:bookmarkStart w:id="302" w:name="_Toc177985683"/>
      <w:bookmarkStart w:id="303" w:name="_Toc287607772"/>
      <w:bookmarkStart w:id="304" w:name="_Toc200513152"/>
      <w:bookmarkStart w:id="305" w:name="_Toc277082578"/>
      <w:bookmarkStart w:id="306" w:name="_Toc287620711"/>
      <w:bookmarkStart w:id="307" w:name="_Toc509218736"/>
      <w:bookmarkStart w:id="308" w:name="_Toc430530461"/>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的编制</w:t>
      </w:r>
      <w:bookmarkEnd w:id="301"/>
      <w:bookmarkEnd w:id="302"/>
      <w:bookmarkEnd w:id="303"/>
      <w:bookmarkEnd w:id="304"/>
      <w:bookmarkEnd w:id="305"/>
      <w:bookmarkEnd w:id="306"/>
      <w:bookmarkEnd w:id="307"/>
      <w:bookmarkEnd w:id="308"/>
    </w:p>
    <w:p w14:paraId="2E983A0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应按第</w:t>
      </w:r>
      <w:r>
        <w:rPr>
          <w:rFonts w:hint="eastAsia" w:ascii="宋体" w:hAnsi="宋体"/>
          <w:snapToGrid w:val="0"/>
          <w:color w:val="auto"/>
          <w:kern w:val="0"/>
          <w:szCs w:val="21"/>
          <w:highlight w:val="none"/>
        </w:rPr>
        <w:t>六</w:t>
      </w:r>
      <w:r>
        <w:rPr>
          <w:rFonts w:ascii="宋体" w:hAnsi="宋体"/>
          <w:snapToGrid w:val="0"/>
          <w:color w:val="auto"/>
          <w:kern w:val="0"/>
          <w:szCs w:val="21"/>
          <w:highlight w:val="none"/>
        </w:rPr>
        <w:t>章“</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的组成部分。其中，</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函附录在满足</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文件实质性要求的基础上，可以提出比</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文件要求更有利于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的承诺。</w:t>
      </w:r>
    </w:p>
    <w:p w14:paraId="6D26D1E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文件有关</w:t>
      </w:r>
      <w:r>
        <w:rPr>
          <w:rFonts w:hint="eastAsia" w:ascii="宋体" w:hAnsi="宋体"/>
          <w:snapToGrid w:val="0"/>
          <w:color w:val="auto"/>
          <w:kern w:val="0"/>
          <w:szCs w:val="21"/>
          <w:highlight w:val="none"/>
        </w:rPr>
        <w:t>交货期限</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范围等实质性内容做出响应。</w:t>
      </w:r>
    </w:p>
    <w:p w14:paraId="794E752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lang w:eastAsia="zh-CN"/>
        </w:rPr>
        <w:t>投标文件</w:t>
      </w:r>
      <w:r>
        <w:rPr>
          <w:rFonts w:hint="eastAsia" w:ascii="宋体" w:hAnsi="宋体"/>
          <w:snapToGrid w:val="0"/>
          <w:color w:val="auto"/>
          <w:kern w:val="0"/>
          <w:position w:val="-2"/>
          <w:szCs w:val="21"/>
          <w:highlight w:val="none"/>
        </w:rPr>
        <w:t>的签名盖章要求：按本章</w:t>
      </w:r>
      <w:r>
        <w:rPr>
          <w:rFonts w:hint="eastAsia" w:ascii="宋体" w:hAnsi="宋体"/>
          <w:snapToGrid w:val="0"/>
          <w:color w:val="auto"/>
          <w:kern w:val="0"/>
          <w:position w:val="-2"/>
          <w:szCs w:val="21"/>
          <w:highlight w:val="none"/>
          <w:lang w:eastAsia="zh-CN"/>
        </w:rPr>
        <w:t>投标人</w:t>
      </w:r>
      <w:r>
        <w:rPr>
          <w:rFonts w:hint="eastAsia" w:ascii="宋体" w:hAnsi="宋体"/>
          <w:snapToGrid w:val="0"/>
          <w:color w:val="auto"/>
          <w:kern w:val="0"/>
          <w:position w:val="-2"/>
          <w:szCs w:val="21"/>
          <w:highlight w:val="none"/>
        </w:rPr>
        <w:t>须知前附表第3.7.3项执行。</w:t>
      </w:r>
    </w:p>
    <w:p w14:paraId="123891F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的份数：见</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须知前附表。正本和副本的封面上应清楚地标记“正本”或“副本”的字样，正本和副本封面均须加盖单位</w:t>
      </w:r>
      <w:r>
        <w:rPr>
          <w:rFonts w:hint="eastAsia" w:ascii="宋体" w:hAnsi="宋体"/>
          <w:color w:val="auto"/>
          <w:szCs w:val="21"/>
          <w:highlight w:val="none"/>
        </w:rPr>
        <w:t>公</w:t>
      </w:r>
      <w:r>
        <w:rPr>
          <w:rFonts w:hint="eastAsia" w:ascii="宋体" w:hAnsi="宋体"/>
          <w:snapToGrid w:val="0"/>
          <w:color w:val="auto"/>
          <w:kern w:val="0"/>
          <w:szCs w:val="21"/>
          <w:highlight w:val="none"/>
        </w:rPr>
        <w:t>章。当副本和正本不一致时，以正本为准。</w:t>
      </w:r>
    </w:p>
    <w:p w14:paraId="159C272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须知前附表规定。</w:t>
      </w:r>
    </w:p>
    <w:p w14:paraId="4BD1DDEF">
      <w:pPr>
        <w:pStyle w:val="4"/>
        <w:adjustRightInd w:val="0"/>
        <w:snapToGrid w:val="0"/>
        <w:spacing w:before="0" w:after="0" w:line="360" w:lineRule="auto"/>
        <w:rPr>
          <w:rFonts w:hint="eastAsia" w:ascii="宋体" w:hAnsi="宋体" w:eastAsia="宋体"/>
          <w:b w:val="0"/>
          <w:snapToGrid w:val="0"/>
          <w:color w:val="auto"/>
          <w:highlight w:val="none"/>
          <w:lang w:eastAsia="zh-CN"/>
        </w:rPr>
      </w:pPr>
      <w:bookmarkStart w:id="309" w:name="_Toc224103344"/>
      <w:bookmarkStart w:id="310" w:name="_Toc430530462"/>
      <w:bookmarkStart w:id="311" w:name="_Toc287620712"/>
      <w:bookmarkStart w:id="312" w:name="_Toc177985684"/>
      <w:bookmarkStart w:id="313" w:name="_Toc287607773"/>
      <w:bookmarkStart w:id="314" w:name="_Toc509218737"/>
      <w:bookmarkStart w:id="315" w:name="_Toc277082579"/>
      <w:bookmarkStart w:id="316" w:name="_Toc200513153"/>
      <w:r>
        <w:rPr>
          <w:rFonts w:ascii="宋体" w:hAnsi="宋体"/>
          <w:b w:val="0"/>
          <w:snapToGrid w:val="0"/>
          <w:color w:val="auto"/>
          <w:highlight w:val="none"/>
        </w:rPr>
        <w:t xml:space="preserve">4.  </w:t>
      </w:r>
      <w:bookmarkEnd w:id="309"/>
      <w:bookmarkEnd w:id="310"/>
      <w:bookmarkEnd w:id="311"/>
      <w:bookmarkEnd w:id="312"/>
      <w:bookmarkEnd w:id="313"/>
      <w:bookmarkEnd w:id="314"/>
      <w:bookmarkEnd w:id="315"/>
      <w:bookmarkEnd w:id="316"/>
      <w:r>
        <w:rPr>
          <w:rFonts w:hint="eastAsia" w:ascii="宋体" w:hAnsi="宋体"/>
          <w:b w:val="0"/>
          <w:snapToGrid w:val="0"/>
          <w:color w:val="auto"/>
          <w:highlight w:val="none"/>
          <w:lang w:eastAsia="zh-CN"/>
        </w:rPr>
        <w:t>投标</w:t>
      </w:r>
    </w:p>
    <w:p w14:paraId="1C227E89">
      <w:pPr>
        <w:pStyle w:val="5"/>
        <w:adjustRightInd w:val="0"/>
        <w:snapToGrid w:val="0"/>
        <w:spacing w:before="0" w:after="0" w:line="360" w:lineRule="auto"/>
        <w:rPr>
          <w:rFonts w:ascii="宋体" w:hAnsi="宋体"/>
          <w:b w:val="0"/>
          <w:snapToGrid w:val="0"/>
          <w:color w:val="auto"/>
          <w:sz w:val="24"/>
          <w:szCs w:val="24"/>
          <w:highlight w:val="none"/>
        </w:rPr>
      </w:pPr>
      <w:bookmarkStart w:id="317" w:name="_Toc200513154"/>
      <w:bookmarkStart w:id="318" w:name="_Toc287607774"/>
      <w:bookmarkStart w:id="319" w:name="_Toc177985685"/>
      <w:bookmarkStart w:id="320" w:name="_Toc287620713"/>
      <w:bookmarkStart w:id="321" w:name="_Toc509218738"/>
      <w:bookmarkStart w:id="322" w:name="_Toc430530463"/>
      <w:bookmarkStart w:id="323" w:name="_Toc224103345"/>
      <w:bookmarkStart w:id="324" w:name="_Toc277082580"/>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的密封和标记</w:t>
      </w:r>
      <w:bookmarkEnd w:id="317"/>
      <w:bookmarkEnd w:id="318"/>
      <w:bookmarkEnd w:id="319"/>
      <w:bookmarkEnd w:id="320"/>
      <w:bookmarkEnd w:id="321"/>
      <w:bookmarkEnd w:id="322"/>
      <w:bookmarkEnd w:id="323"/>
      <w:bookmarkEnd w:id="324"/>
    </w:p>
    <w:p w14:paraId="1316F52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25"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密封：</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54745E6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封套上应</w:t>
      </w:r>
      <w:r>
        <w:rPr>
          <w:rFonts w:hint="eastAsia" w:ascii="宋体" w:hAnsi="宋体"/>
          <w:snapToGrid w:val="0"/>
          <w:color w:val="auto"/>
          <w:kern w:val="0"/>
          <w:szCs w:val="21"/>
          <w:highlight w:val="none"/>
        </w:rPr>
        <w:t>载明</w:t>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信息：</w:t>
      </w:r>
      <w:r>
        <w:rPr>
          <w:rFonts w:ascii="宋体" w:hAnsi="宋体"/>
          <w:snapToGrid w:val="0"/>
          <w:color w:val="auto"/>
          <w:kern w:val="0"/>
          <w:szCs w:val="21"/>
          <w:highlight w:val="none"/>
        </w:rPr>
        <w:t>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471E8FD9">
      <w:pPr>
        <w:pStyle w:val="5"/>
        <w:adjustRightInd w:val="0"/>
        <w:snapToGrid w:val="0"/>
        <w:spacing w:before="0" w:after="0" w:line="360" w:lineRule="auto"/>
        <w:rPr>
          <w:rFonts w:ascii="宋体" w:hAnsi="宋体"/>
          <w:b w:val="0"/>
          <w:snapToGrid w:val="0"/>
          <w:color w:val="auto"/>
          <w:sz w:val="24"/>
          <w:szCs w:val="24"/>
          <w:highlight w:val="none"/>
        </w:rPr>
      </w:pPr>
      <w:bookmarkStart w:id="326" w:name="_Toc177985686"/>
      <w:bookmarkStart w:id="327" w:name="_Toc509218739"/>
      <w:bookmarkStart w:id="328" w:name="_Toc277082581"/>
      <w:bookmarkStart w:id="329" w:name="_Toc287607775"/>
      <w:bookmarkStart w:id="330" w:name="_Toc224103346"/>
      <w:bookmarkStart w:id="331" w:name="_Toc287620714"/>
      <w:bookmarkStart w:id="332" w:name="_Toc430530464"/>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的递交</w:t>
      </w:r>
      <w:bookmarkEnd w:id="325"/>
      <w:bookmarkEnd w:id="326"/>
      <w:bookmarkEnd w:id="327"/>
      <w:bookmarkEnd w:id="328"/>
      <w:bookmarkEnd w:id="329"/>
      <w:bookmarkEnd w:id="330"/>
      <w:bookmarkEnd w:id="331"/>
      <w:bookmarkEnd w:id="332"/>
    </w:p>
    <w:p w14:paraId="7DA7E73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须知前附表第4.2.1项规定的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截止时间前递交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w:t>
      </w:r>
    </w:p>
    <w:p w14:paraId="27C870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p w14:paraId="541306F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不予退还。</w:t>
      </w:r>
    </w:p>
    <w:p w14:paraId="3317FCC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收到</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后，向</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出具签收凭证。</w:t>
      </w:r>
    </w:p>
    <w:p w14:paraId="4D35A08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4.2.5  </w:t>
      </w:r>
      <w:r>
        <w:rPr>
          <w:rFonts w:hint="eastAsia" w:ascii="宋体" w:hAnsi="宋体"/>
          <w:snapToGrid w:val="0"/>
          <w:color w:val="auto"/>
          <w:kern w:val="0"/>
          <w:szCs w:val="21"/>
          <w:highlight w:val="none"/>
        </w:rPr>
        <w:t>逾期送达的或者未送达指定地点的</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不予受理。</w:t>
      </w:r>
    </w:p>
    <w:p w14:paraId="24A33021">
      <w:pPr>
        <w:pStyle w:val="5"/>
        <w:adjustRightInd w:val="0"/>
        <w:snapToGrid w:val="0"/>
        <w:spacing w:before="0" w:after="0" w:line="360" w:lineRule="auto"/>
        <w:rPr>
          <w:rFonts w:ascii="宋体" w:hAnsi="宋体"/>
          <w:b w:val="0"/>
          <w:snapToGrid w:val="0"/>
          <w:color w:val="auto"/>
          <w:sz w:val="24"/>
          <w:szCs w:val="24"/>
          <w:highlight w:val="none"/>
        </w:rPr>
      </w:pPr>
      <w:bookmarkStart w:id="333" w:name="_Toc509218740"/>
      <w:bookmarkStart w:id="334" w:name="_Toc200513156"/>
      <w:bookmarkStart w:id="335" w:name="_Toc224103347"/>
      <w:bookmarkStart w:id="336" w:name="_Toc287607776"/>
      <w:bookmarkStart w:id="337" w:name="_Toc430530465"/>
      <w:bookmarkStart w:id="338" w:name="_Toc277082582"/>
      <w:bookmarkStart w:id="339" w:name="_Toc287620715"/>
      <w:bookmarkStart w:id="340" w:name="_Toc177985687"/>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lang w:eastAsia="zh-CN"/>
        </w:rPr>
        <w:t>投标文件</w:t>
      </w:r>
      <w:r>
        <w:rPr>
          <w:rFonts w:ascii="宋体" w:hAnsi="宋体"/>
          <w:b w:val="0"/>
          <w:snapToGrid w:val="0"/>
          <w:color w:val="auto"/>
          <w:sz w:val="24"/>
          <w:szCs w:val="24"/>
          <w:highlight w:val="none"/>
        </w:rPr>
        <w:t>的修改与撤回</w:t>
      </w:r>
      <w:bookmarkEnd w:id="333"/>
      <w:bookmarkEnd w:id="334"/>
      <w:bookmarkEnd w:id="335"/>
      <w:bookmarkEnd w:id="336"/>
      <w:bookmarkEnd w:id="337"/>
      <w:bookmarkEnd w:id="338"/>
      <w:bookmarkEnd w:id="339"/>
      <w:bookmarkEnd w:id="340"/>
    </w:p>
    <w:p w14:paraId="6A4C810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截止时间前，</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w:t>
      </w:r>
    </w:p>
    <w:p w14:paraId="4AE283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4.3.2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出具签收凭证。</w:t>
      </w:r>
    </w:p>
    <w:p w14:paraId="097BDEE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snapToGrid w:val="0"/>
          <w:color w:val="auto"/>
          <w:kern w:val="0"/>
          <w:szCs w:val="21"/>
          <w:highlight w:val="none"/>
        </w:rPr>
        <w:t>4.3.</w:t>
      </w: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撤回</w:t>
      </w:r>
      <w:r>
        <w:rPr>
          <w:rFonts w:hint="eastAsia" w:ascii="宋体" w:hAnsi="宋体"/>
          <w:snapToGrid w:val="0"/>
          <w:color w:val="auto"/>
          <w:kern w:val="0"/>
          <w:szCs w:val="21"/>
          <w:highlight w:val="none"/>
          <w:lang w:eastAsia="zh-CN"/>
        </w:rPr>
        <w:t>投标文件</w:t>
      </w:r>
      <w:r>
        <w:rPr>
          <w:rFonts w:hint="eastAsia" w:ascii="宋体" w:hAnsi="宋体"/>
          <w:snapToGrid w:val="0"/>
          <w:color w:val="auto"/>
          <w:kern w:val="0"/>
          <w:szCs w:val="21"/>
          <w:highlight w:val="none"/>
        </w:rPr>
        <w:t>的，其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保证金的退还在项目开标后同</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候选人以外的</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一并处理。</w:t>
      </w:r>
    </w:p>
    <w:p w14:paraId="656D7996">
      <w:pPr>
        <w:pStyle w:val="4"/>
        <w:adjustRightInd w:val="0"/>
        <w:snapToGrid w:val="0"/>
        <w:spacing w:before="0" w:after="0" w:line="360" w:lineRule="auto"/>
        <w:rPr>
          <w:rFonts w:ascii="宋体" w:hAnsi="宋体"/>
          <w:b w:val="0"/>
          <w:snapToGrid w:val="0"/>
          <w:color w:val="auto"/>
          <w:highlight w:val="none"/>
        </w:rPr>
      </w:pPr>
      <w:bookmarkStart w:id="341" w:name="_Toc277082583"/>
      <w:bookmarkStart w:id="342" w:name="_Toc200513157"/>
      <w:bookmarkStart w:id="343" w:name="_Toc287620716"/>
      <w:bookmarkStart w:id="344" w:name="_Toc430530466"/>
      <w:bookmarkStart w:id="345" w:name="_Toc287607777"/>
      <w:bookmarkStart w:id="346" w:name="_Toc177985688"/>
      <w:bookmarkStart w:id="347" w:name="_Toc509218741"/>
      <w:bookmarkStart w:id="348" w:name="_Toc224103348"/>
      <w:r>
        <w:rPr>
          <w:rFonts w:ascii="宋体" w:hAnsi="宋体"/>
          <w:b w:val="0"/>
          <w:snapToGrid w:val="0"/>
          <w:color w:val="auto"/>
          <w:highlight w:val="none"/>
        </w:rPr>
        <w:t>5.  开标</w:t>
      </w:r>
      <w:bookmarkEnd w:id="341"/>
      <w:bookmarkEnd w:id="342"/>
      <w:bookmarkEnd w:id="343"/>
      <w:bookmarkEnd w:id="344"/>
      <w:bookmarkEnd w:id="345"/>
      <w:bookmarkEnd w:id="346"/>
      <w:bookmarkEnd w:id="347"/>
      <w:bookmarkEnd w:id="348"/>
    </w:p>
    <w:p w14:paraId="4091704C">
      <w:pPr>
        <w:pStyle w:val="5"/>
        <w:adjustRightInd w:val="0"/>
        <w:snapToGrid w:val="0"/>
        <w:spacing w:before="0" w:after="0" w:line="360" w:lineRule="auto"/>
        <w:rPr>
          <w:rFonts w:ascii="宋体" w:hAnsi="宋体"/>
          <w:b w:val="0"/>
          <w:snapToGrid w:val="0"/>
          <w:color w:val="auto"/>
          <w:sz w:val="24"/>
          <w:szCs w:val="24"/>
          <w:highlight w:val="none"/>
        </w:rPr>
      </w:pPr>
      <w:bookmarkStart w:id="349" w:name="_Toc177985689"/>
      <w:bookmarkStart w:id="350" w:name="_Toc277082584"/>
      <w:bookmarkStart w:id="351" w:name="_Toc287620717"/>
      <w:bookmarkStart w:id="352" w:name="_Toc287607778"/>
      <w:bookmarkStart w:id="353" w:name="_Toc509218742"/>
      <w:bookmarkStart w:id="354" w:name="_Toc430530467"/>
      <w:bookmarkStart w:id="355" w:name="_Toc200513158"/>
      <w:bookmarkStart w:id="356" w:name="_Toc224103349"/>
      <w:r>
        <w:rPr>
          <w:rFonts w:ascii="宋体" w:hAnsi="宋体"/>
          <w:b w:val="0"/>
          <w:snapToGrid w:val="0"/>
          <w:color w:val="auto"/>
          <w:sz w:val="24"/>
          <w:szCs w:val="24"/>
          <w:highlight w:val="none"/>
        </w:rPr>
        <w:t>5.1  开标时间和地点</w:t>
      </w:r>
      <w:bookmarkEnd w:id="349"/>
      <w:bookmarkEnd w:id="350"/>
      <w:bookmarkEnd w:id="351"/>
      <w:bookmarkEnd w:id="352"/>
      <w:bookmarkEnd w:id="353"/>
      <w:bookmarkEnd w:id="354"/>
      <w:bookmarkEnd w:id="355"/>
      <w:bookmarkEnd w:id="356"/>
    </w:p>
    <w:p w14:paraId="2D8D8DD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须知前附表第4.2.1项规定的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截止时间（开标时间）和</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的法定代表人或其委托代理人准时参加。</w:t>
      </w:r>
    </w:p>
    <w:p w14:paraId="1FC9117D">
      <w:pPr>
        <w:pStyle w:val="5"/>
        <w:adjustRightInd w:val="0"/>
        <w:snapToGrid w:val="0"/>
        <w:spacing w:before="0" w:after="0" w:line="360" w:lineRule="auto"/>
        <w:rPr>
          <w:rFonts w:ascii="宋体" w:hAnsi="宋体"/>
          <w:b w:val="0"/>
          <w:snapToGrid w:val="0"/>
          <w:color w:val="auto"/>
          <w:sz w:val="24"/>
          <w:szCs w:val="24"/>
          <w:highlight w:val="none"/>
        </w:rPr>
      </w:pPr>
      <w:bookmarkStart w:id="357" w:name="_Toc287620718"/>
      <w:bookmarkStart w:id="358" w:name="_Toc509218743"/>
      <w:bookmarkStart w:id="359" w:name="_Toc224103350"/>
      <w:bookmarkStart w:id="360" w:name="_Toc287607779"/>
      <w:bookmarkStart w:id="361" w:name="_Toc177985690"/>
      <w:bookmarkStart w:id="362" w:name="_Toc200513159"/>
      <w:bookmarkStart w:id="363" w:name="_Toc277082585"/>
      <w:bookmarkStart w:id="364" w:name="_Toc430530468"/>
      <w:r>
        <w:rPr>
          <w:rFonts w:ascii="宋体" w:hAnsi="宋体"/>
          <w:b w:val="0"/>
          <w:snapToGrid w:val="0"/>
          <w:color w:val="auto"/>
          <w:sz w:val="24"/>
          <w:szCs w:val="24"/>
          <w:highlight w:val="none"/>
        </w:rPr>
        <w:t>5.2  开标程序</w:t>
      </w:r>
      <w:bookmarkEnd w:id="357"/>
      <w:bookmarkEnd w:id="358"/>
      <w:bookmarkEnd w:id="359"/>
      <w:bookmarkEnd w:id="360"/>
      <w:bookmarkEnd w:id="361"/>
      <w:bookmarkEnd w:id="362"/>
      <w:bookmarkEnd w:id="363"/>
      <w:bookmarkEnd w:id="364"/>
    </w:p>
    <w:p w14:paraId="07CFE106">
      <w:pPr>
        <w:autoSpaceDE w:val="0"/>
        <w:autoSpaceDN w:val="0"/>
        <w:adjustRightInd w:val="0"/>
        <w:snapToGrid w:val="0"/>
        <w:spacing w:line="360" w:lineRule="auto"/>
        <w:ind w:firstLine="420" w:firstLineChars="200"/>
        <w:rPr>
          <w:rFonts w:ascii="宋体" w:hAnsi="宋体"/>
          <w:color w:val="auto"/>
          <w:szCs w:val="21"/>
          <w:highlight w:val="none"/>
        </w:rPr>
      </w:pPr>
      <w:bookmarkStart w:id="365" w:name="_Toc224103351"/>
      <w:bookmarkStart w:id="366" w:name="_Toc200513160"/>
      <w:bookmarkStart w:id="367" w:name="_Toc287607780"/>
      <w:bookmarkStart w:id="368" w:name="_Toc277082586"/>
      <w:bookmarkStart w:id="369" w:name="_Toc287620719"/>
      <w:r>
        <w:rPr>
          <w:rFonts w:ascii="宋体" w:hAnsi="宋体"/>
          <w:color w:val="auto"/>
          <w:szCs w:val="21"/>
          <w:highlight w:val="none"/>
        </w:rPr>
        <w:t>详见</w:t>
      </w:r>
      <w:r>
        <w:rPr>
          <w:rFonts w:hint="eastAsia" w:ascii="宋体" w:hAnsi="宋体"/>
          <w:color w:val="auto"/>
          <w:szCs w:val="21"/>
          <w:highlight w:val="none"/>
          <w:lang w:eastAsia="zh-CN"/>
        </w:rPr>
        <w:t>投标人</w:t>
      </w:r>
      <w:r>
        <w:rPr>
          <w:rFonts w:ascii="宋体" w:hAnsi="宋体"/>
          <w:color w:val="auto"/>
          <w:szCs w:val="21"/>
          <w:highlight w:val="none"/>
        </w:rPr>
        <w:t>须知前附表第5.2款开标程序。</w:t>
      </w:r>
    </w:p>
    <w:p w14:paraId="09379F62">
      <w:pPr>
        <w:pStyle w:val="5"/>
        <w:adjustRightInd w:val="0"/>
        <w:snapToGrid w:val="0"/>
        <w:spacing w:before="0" w:after="0" w:line="360" w:lineRule="auto"/>
        <w:rPr>
          <w:rFonts w:ascii="宋体" w:hAnsi="宋体"/>
          <w:b w:val="0"/>
          <w:snapToGrid w:val="0"/>
          <w:color w:val="auto"/>
          <w:sz w:val="24"/>
          <w:szCs w:val="24"/>
          <w:highlight w:val="none"/>
        </w:rPr>
      </w:pPr>
      <w:bookmarkStart w:id="370" w:name="_Toc177985691"/>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370"/>
    </w:p>
    <w:p w14:paraId="0CAF6F5E">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投标人</w:t>
      </w:r>
      <w:r>
        <w:rPr>
          <w:rFonts w:hint="eastAsia" w:ascii="宋体" w:hAnsi="宋体"/>
          <w:color w:val="auto"/>
          <w:szCs w:val="21"/>
          <w:highlight w:val="none"/>
        </w:rPr>
        <w:t>对开标有异议的，应在开标现场提出，同时应出示法定代表人身份证明或附有法定代表人身份证明的授权委托书。</w:t>
      </w:r>
      <w:r>
        <w:rPr>
          <w:rFonts w:hint="eastAsia" w:ascii="宋体" w:hAnsi="宋体"/>
          <w:color w:val="auto"/>
          <w:szCs w:val="21"/>
          <w:highlight w:val="none"/>
          <w:lang w:eastAsia="zh-CN"/>
        </w:rPr>
        <w:t>招标人</w:t>
      </w:r>
      <w:r>
        <w:rPr>
          <w:rFonts w:hint="eastAsia" w:ascii="宋体" w:hAnsi="宋体"/>
          <w:color w:val="auto"/>
          <w:szCs w:val="21"/>
          <w:highlight w:val="none"/>
        </w:rPr>
        <w:t>当场作出答复，并制作记录，有异议的</w:t>
      </w:r>
      <w:r>
        <w:rPr>
          <w:rFonts w:hint="eastAsia" w:ascii="宋体" w:hAnsi="宋体"/>
          <w:color w:val="auto"/>
          <w:szCs w:val="21"/>
          <w:highlight w:val="none"/>
          <w:lang w:eastAsia="zh-CN"/>
        </w:rPr>
        <w:t>投标人</w:t>
      </w:r>
      <w:r>
        <w:rPr>
          <w:rFonts w:hint="eastAsia" w:ascii="宋体" w:hAnsi="宋体"/>
          <w:color w:val="auto"/>
          <w:szCs w:val="21"/>
          <w:highlight w:val="none"/>
        </w:rPr>
        <w:t>代表、</w:t>
      </w:r>
      <w:r>
        <w:rPr>
          <w:rFonts w:hint="eastAsia" w:ascii="宋体" w:hAnsi="宋体"/>
          <w:color w:val="auto"/>
          <w:szCs w:val="21"/>
          <w:highlight w:val="none"/>
          <w:lang w:eastAsia="zh-CN"/>
        </w:rPr>
        <w:t>招标人</w:t>
      </w:r>
      <w:r>
        <w:rPr>
          <w:rFonts w:hint="eastAsia" w:ascii="宋体" w:hAnsi="宋体"/>
          <w:color w:val="auto"/>
          <w:szCs w:val="21"/>
          <w:highlight w:val="none"/>
        </w:rPr>
        <w:t>代表、主持人、记录人等有关人员在记录上签名确认</w:t>
      </w:r>
      <w:r>
        <w:rPr>
          <w:rFonts w:ascii="宋体" w:hAnsi="宋体"/>
          <w:color w:val="auto"/>
          <w:szCs w:val="21"/>
          <w:highlight w:val="none"/>
        </w:rPr>
        <w:t>。</w:t>
      </w:r>
    </w:p>
    <w:p w14:paraId="1C24580C">
      <w:pPr>
        <w:pStyle w:val="4"/>
        <w:adjustRightInd w:val="0"/>
        <w:snapToGrid w:val="0"/>
        <w:spacing w:before="0" w:after="0" w:line="360" w:lineRule="auto"/>
        <w:rPr>
          <w:rFonts w:ascii="宋体" w:hAnsi="宋体"/>
          <w:b w:val="0"/>
          <w:snapToGrid w:val="0"/>
          <w:color w:val="auto"/>
          <w:highlight w:val="none"/>
        </w:rPr>
      </w:pPr>
      <w:bookmarkStart w:id="371" w:name="_Toc177985692"/>
      <w:bookmarkStart w:id="372" w:name="_Toc430530469"/>
      <w:bookmarkStart w:id="373" w:name="_Toc509218744"/>
      <w:r>
        <w:rPr>
          <w:rFonts w:ascii="宋体" w:hAnsi="宋体"/>
          <w:b w:val="0"/>
          <w:snapToGrid w:val="0"/>
          <w:color w:val="auto"/>
          <w:highlight w:val="none"/>
        </w:rPr>
        <w:t>6.  评标</w:t>
      </w:r>
      <w:bookmarkEnd w:id="365"/>
      <w:bookmarkEnd w:id="366"/>
      <w:bookmarkEnd w:id="367"/>
      <w:bookmarkEnd w:id="368"/>
      <w:bookmarkEnd w:id="369"/>
      <w:bookmarkEnd w:id="371"/>
      <w:bookmarkEnd w:id="372"/>
      <w:bookmarkEnd w:id="373"/>
    </w:p>
    <w:p w14:paraId="6791AF19">
      <w:pPr>
        <w:pStyle w:val="5"/>
        <w:adjustRightInd w:val="0"/>
        <w:snapToGrid w:val="0"/>
        <w:spacing w:before="0" w:after="0" w:line="360" w:lineRule="auto"/>
        <w:rPr>
          <w:rFonts w:ascii="宋体" w:hAnsi="宋体"/>
          <w:b w:val="0"/>
          <w:snapToGrid w:val="0"/>
          <w:color w:val="auto"/>
          <w:sz w:val="24"/>
          <w:szCs w:val="24"/>
          <w:highlight w:val="none"/>
        </w:rPr>
      </w:pPr>
      <w:bookmarkStart w:id="374" w:name="_Toc287620720"/>
      <w:bookmarkStart w:id="375" w:name="_Toc287607781"/>
      <w:bookmarkStart w:id="376" w:name="_Toc430530470"/>
      <w:bookmarkStart w:id="377" w:name="_Toc224103352"/>
      <w:bookmarkStart w:id="378" w:name="_Toc277082587"/>
      <w:bookmarkStart w:id="379" w:name="_Toc177985693"/>
      <w:bookmarkStart w:id="380" w:name="_Toc200513161"/>
      <w:bookmarkStart w:id="381" w:name="_Toc509218745"/>
      <w:r>
        <w:rPr>
          <w:rFonts w:ascii="宋体" w:hAnsi="宋体"/>
          <w:b w:val="0"/>
          <w:snapToGrid w:val="0"/>
          <w:color w:val="auto"/>
          <w:sz w:val="24"/>
          <w:szCs w:val="24"/>
          <w:highlight w:val="none"/>
        </w:rPr>
        <w:t>6.1  评标委员会</w:t>
      </w:r>
      <w:bookmarkEnd w:id="374"/>
      <w:bookmarkEnd w:id="375"/>
      <w:bookmarkEnd w:id="376"/>
      <w:bookmarkEnd w:id="377"/>
      <w:bookmarkEnd w:id="378"/>
      <w:bookmarkEnd w:id="379"/>
      <w:bookmarkEnd w:id="380"/>
      <w:bookmarkEnd w:id="381"/>
    </w:p>
    <w:p w14:paraId="6C702464">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依据法律法规和相关规范性文件组建的评标委员会负责。</w:t>
      </w:r>
    </w:p>
    <w:p w14:paraId="064BE17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402CB39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主要负责人的近亲属；</w:t>
      </w:r>
    </w:p>
    <w:p w14:paraId="379BB33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行政监督部门的人员；</w:t>
      </w:r>
    </w:p>
    <w:p w14:paraId="3F37FAA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有</w:t>
      </w:r>
      <w:r>
        <w:rPr>
          <w:rFonts w:hint="eastAsia" w:ascii="宋体" w:hAnsi="宋体"/>
          <w:snapToGrid w:val="0"/>
          <w:color w:val="auto"/>
          <w:kern w:val="0"/>
          <w:szCs w:val="21"/>
          <w:highlight w:val="none"/>
        </w:rPr>
        <w:t>利害</w:t>
      </w:r>
      <w:r>
        <w:rPr>
          <w:rFonts w:ascii="宋体" w:hAnsi="宋体"/>
          <w:snapToGrid w:val="0"/>
          <w:color w:val="auto"/>
          <w:kern w:val="0"/>
          <w:szCs w:val="21"/>
          <w:highlight w:val="none"/>
        </w:rPr>
        <w:t>关系，可能影响对</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公正评审的；</w:t>
      </w:r>
    </w:p>
    <w:p w14:paraId="6B386F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标、评标以及其他与招</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标投</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标有关活动中从事违法行为而受过行政处罚或刑事处罚的</w:t>
      </w:r>
      <w:r>
        <w:rPr>
          <w:rFonts w:hint="eastAsia" w:ascii="宋体" w:hAnsi="宋体"/>
          <w:snapToGrid w:val="0"/>
          <w:color w:val="auto"/>
          <w:kern w:val="0"/>
          <w:szCs w:val="21"/>
          <w:highlight w:val="none"/>
        </w:rPr>
        <w:t>；</w:t>
      </w:r>
    </w:p>
    <w:p w14:paraId="45D1B5D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ascii="宋体" w:hAnsi="宋体"/>
          <w:snapToGrid w:val="0"/>
          <w:color w:val="auto"/>
          <w:kern w:val="0"/>
          <w:szCs w:val="21"/>
          <w:highlight w:val="none"/>
        </w:rPr>
        <w:t>5</w:t>
      </w:r>
      <w:r>
        <w:rPr>
          <w:rFonts w:hint="eastAsia" w:ascii="宋体" w:hAnsi="宋体"/>
          <w:snapToGrid w:val="0"/>
          <w:color w:val="auto"/>
          <w:kern w:val="0"/>
          <w:szCs w:val="21"/>
          <w:highlight w:val="none"/>
        </w:rPr>
        <w:t>）法律法规规定的其他情形。</w:t>
      </w:r>
    </w:p>
    <w:p w14:paraId="74B744FE">
      <w:pPr>
        <w:pStyle w:val="284"/>
        <w:adjustRightInd w:val="0"/>
        <w:snapToGrid w:val="0"/>
        <w:spacing w:before="0" w:after="0" w:line="360" w:lineRule="auto"/>
        <w:ind w:firstLine="420" w:firstLineChars="200"/>
        <w:jc w:val="left"/>
        <w:rPr>
          <w:rFonts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651196DA">
      <w:pPr>
        <w:pStyle w:val="5"/>
        <w:adjustRightInd w:val="0"/>
        <w:snapToGrid w:val="0"/>
        <w:spacing w:before="0" w:after="0" w:line="360" w:lineRule="auto"/>
        <w:rPr>
          <w:rFonts w:ascii="宋体" w:hAnsi="宋体"/>
          <w:b w:val="0"/>
          <w:snapToGrid w:val="0"/>
          <w:color w:val="auto"/>
          <w:sz w:val="24"/>
          <w:szCs w:val="24"/>
          <w:highlight w:val="none"/>
        </w:rPr>
      </w:pPr>
      <w:bookmarkStart w:id="382" w:name="_Toc287620721"/>
      <w:bookmarkStart w:id="383" w:name="_Toc277082588"/>
      <w:bookmarkStart w:id="384" w:name="_Toc509218746"/>
      <w:bookmarkStart w:id="385" w:name="_Toc287607782"/>
      <w:bookmarkStart w:id="386" w:name="_Toc200513162"/>
      <w:bookmarkStart w:id="387" w:name="_Toc430530471"/>
      <w:bookmarkStart w:id="388" w:name="_Toc224103353"/>
      <w:bookmarkStart w:id="389" w:name="_Toc177985694"/>
      <w:r>
        <w:rPr>
          <w:rFonts w:ascii="宋体" w:hAnsi="宋体"/>
          <w:b w:val="0"/>
          <w:snapToGrid w:val="0"/>
          <w:color w:val="auto"/>
          <w:sz w:val="24"/>
          <w:szCs w:val="24"/>
          <w:highlight w:val="none"/>
        </w:rPr>
        <w:t>6.2  评标原则</w:t>
      </w:r>
      <w:bookmarkEnd w:id="382"/>
      <w:bookmarkEnd w:id="383"/>
      <w:bookmarkEnd w:id="384"/>
      <w:bookmarkEnd w:id="385"/>
      <w:bookmarkEnd w:id="386"/>
      <w:bookmarkEnd w:id="387"/>
      <w:bookmarkEnd w:id="388"/>
      <w:bookmarkEnd w:id="389"/>
    </w:p>
    <w:p w14:paraId="408F6E6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768E080B">
      <w:pPr>
        <w:pStyle w:val="5"/>
        <w:adjustRightInd w:val="0"/>
        <w:snapToGrid w:val="0"/>
        <w:spacing w:before="0" w:after="0" w:line="360" w:lineRule="auto"/>
        <w:rPr>
          <w:rFonts w:ascii="宋体" w:hAnsi="宋体"/>
          <w:b w:val="0"/>
          <w:snapToGrid w:val="0"/>
          <w:color w:val="auto"/>
          <w:sz w:val="24"/>
          <w:szCs w:val="24"/>
          <w:highlight w:val="none"/>
        </w:rPr>
      </w:pPr>
      <w:bookmarkStart w:id="390" w:name="_Toc430530472"/>
      <w:bookmarkStart w:id="391" w:name="_Toc287607783"/>
      <w:bookmarkStart w:id="392" w:name="_Toc287620722"/>
      <w:bookmarkStart w:id="393" w:name="_Toc224103354"/>
      <w:bookmarkStart w:id="394" w:name="_Toc509218747"/>
      <w:bookmarkStart w:id="395" w:name="_Toc177985695"/>
      <w:bookmarkStart w:id="396" w:name="_Toc277082589"/>
      <w:bookmarkStart w:id="397" w:name="_Toc200513163"/>
      <w:r>
        <w:rPr>
          <w:rFonts w:ascii="宋体" w:hAnsi="宋体"/>
          <w:b w:val="0"/>
          <w:snapToGrid w:val="0"/>
          <w:color w:val="auto"/>
          <w:sz w:val="24"/>
          <w:szCs w:val="24"/>
          <w:highlight w:val="none"/>
        </w:rPr>
        <w:t>6.3  评标</w:t>
      </w:r>
      <w:bookmarkEnd w:id="390"/>
      <w:bookmarkEnd w:id="391"/>
      <w:bookmarkEnd w:id="392"/>
      <w:bookmarkEnd w:id="393"/>
      <w:bookmarkEnd w:id="394"/>
      <w:bookmarkEnd w:id="395"/>
      <w:bookmarkEnd w:id="396"/>
      <w:bookmarkEnd w:id="397"/>
    </w:p>
    <w:p w14:paraId="7E99D9F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.3.1  评标委员会按照第三章“评标办法”规定的方法、评审因素、标准和程序对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进行评审。第三章“评标办法”没有规定的方法、评审因素和标准，不得作为评标依据。</w:t>
      </w:r>
    </w:p>
    <w:p w14:paraId="1DA5FC3B">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 xml:space="preserve">.3.2  </w:t>
      </w:r>
      <w:r>
        <w:rPr>
          <w:rFonts w:ascii="宋体" w:hAnsi="宋体"/>
          <w:color w:val="auto"/>
          <w:highlight w:val="none"/>
        </w:rPr>
        <w:t>评标完成后，评标委员会应当向</w:t>
      </w:r>
      <w:r>
        <w:rPr>
          <w:rFonts w:hint="eastAsia" w:ascii="宋体" w:hAnsi="宋体"/>
          <w:color w:val="auto"/>
          <w:highlight w:val="none"/>
          <w:lang w:eastAsia="zh-CN"/>
        </w:rPr>
        <w:t>招标人</w:t>
      </w:r>
      <w:r>
        <w:rPr>
          <w:rFonts w:ascii="宋体" w:hAnsi="宋体"/>
          <w:color w:val="auto"/>
          <w:highlight w:val="none"/>
        </w:rPr>
        <w:t>提交书面评标报告和</w:t>
      </w:r>
      <w:r>
        <w:rPr>
          <w:rFonts w:hint="eastAsia" w:ascii="宋体" w:hAnsi="宋体"/>
          <w:color w:val="auto"/>
          <w:highlight w:val="none"/>
          <w:lang w:eastAsia="zh-CN"/>
        </w:rPr>
        <w:t>中标</w:t>
      </w:r>
      <w:r>
        <w:rPr>
          <w:rFonts w:ascii="宋体" w:hAnsi="宋体"/>
          <w:color w:val="auto"/>
          <w:highlight w:val="none"/>
        </w:rPr>
        <w:t>候选人名单。评标委员会推荐</w:t>
      </w:r>
      <w:r>
        <w:rPr>
          <w:rFonts w:hint="eastAsia" w:ascii="宋体" w:hAnsi="宋体"/>
          <w:color w:val="auto"/>
          <w:highlight w:val="none"/>
          <w:lang w:eastAsia="zh-CN"/>
        </w:rPr>
        <w:t>中标</w:t>
      </w:r>
      <w:r>
        <w:rPr>
          <w:rFonts w:ascii="宋体" w:hAnsi="宋体"/>
          <w:color w:val="auto"/>
          <w:highlight w:val="none"/>
        </w:rPr>
        <w:t>候选人的</w:t>
      </w:r>
      <w:r>
        <w:rPr>
          <w:rFonts w:hint="eastAsia" w:ascii="宋体" w:hAnsi="宋体"/>
          <w:color w:val="auto"/>
          <w:highlight w:val="none"/>
        </w:rPr>
        <w:t>数量</w:t>
      </w:r>
      <w:r>
        <w:rPr>
          <w:rFonts w:ascii="宋体" w:hAnsi="宋体"/>
          <w:color w:val="auto"/>
          <w:highlight w:val="none"/>
        </w:rPr>
        <w:t>见</w:t>
      </w:r>
      <w:r>
        <w:rPr>
          <w:rFonts w:hint="eastAsia" w:ascii="宋体" w:hAnsi="宋体"/>
          <w:color w:val="auto"/>
          <w:highlight w:val="none"/>
          <w:lang w:eastAsia="zh-CN"/>
        </w:rPr>
        <w:t>投标人</w:t>
      </w:r>
      <w:r>
        <w:rPr>
          <w:rFonts w:ascii="宋体" w:hAnsi="宋体"/>
          <w:color w:val="auto"/>
          <w:highlight w:val="none"/>
        </w:rPr>
        <w:t>须知前附表。</w:t>
      </w:r>
    </w:p>
    <w:p w14:paraId="116B2462">
      <w:pPr>
        <w:pStyle w:val="4"/>
        <w:adjustRightInd w:val="0"/>
        <w:snapToGrid w:val="0"/>
        <w:spacing w:before="0" w:after="0" w:line="360" w:lineRule="auto"/>
        <w:rPr>
          <w:rFonts w:ascii="宋体" w:hAnsi="宋体"/>
          <w:b w:val="0"/>
          <w:snapToGrid w:val="0"/>
          <w:color w:val="auto"/>
          <w:highlight w:val="none"/>
        </w:rPr>
      </w:pPr>
      <w:bookmarkStart w:id="398" w:name="_Toc430530473"/>
      <w:bookmarkStart w:id="399" w:name="_Toc177985696"/>
      <w:bookmarkStart w:id="400" w:name="_Toc200513164"/>
      <w:bookmarkStart w:id="401" w:name="_Toc277082590"/>
      <w:bookmarkStart w:id="402" w:name="_Toc509218748"/>
      <w:bookmarkStart w:id="403" w:name="_Toc224103355"/>
      <w:bookmarkStart w:id="404" w:name="_Toc287607784"/>
      <w:bookmarkStart w:id="405" w:name="_Toc287620723"/>
      <w:r>
        <w:rPr>
          <w:rFonts w:ascii="宋体" w:hAnsi="宋体"/>
          <w:b w:val="0"/>
          <w:snapToGrid w:val="0"/>
          <w:color w:val="auto"/>
          <w:highlight w:val="none"/>
        </w:rPr>
        <w:t>7.  合同授予</w:t>
      </w:r>
      <w:bookmarkEnd w:id="398"/>
      <w:bookmarkEnd w:id="399"/>
      <w:bookmarkEnd w:id="400"/>
      <w:bookmarkEnd w:id="401"/>
      <w:bookmarkEnd w:id="402"/>
      <w:bookmarkEnd w:id="403"/>
      <w:bookmarkEnd w:id="404"/>
      <w:bookmarkEnd w:id="405"/>
    </w:p>
    <w:p w14:paraId="1BB5DCA7">
      <w:pPr>
        <w:pStyle w:val="5"/>
        <w:adjustRightInd w:val="0"/>
        <w:snapToGrid w:val="0"/>
        <w:spacing w:before="0" w:after="0" w:line="360" w:lineRule="auto"/>
        <w:rPr>
          <w:rFonts w:ascii="宋体" w:hAnsi="宋体"/>
          <w:b w:val="0"/>
          <w:snapToGrid w:val="0"/>
          <w:color w:val="auto"/>
          <w:sz w:val="24"/>
          <w:szCs w:val="24"/>
          <w:highlight w:val="none"/>
        </w:rPr>
      </w:pPr>
      <w:bookmarkStart w:id="406" w:name="_Toc287607785"/>
      <w:bookmarkStart w:id="407" w:name="_Toc224103356"/>
      <w:bookmarkStart w:id="408" w:name="_Toc430530474"/>
      <w:bookmarkStart w:id="409" w:name="_Toc200513165"/>
      <w:bookmarkStart w:id="410" w:name="_Toc277082591"/>
      <w:bookmarkStart w:id="411" w:name="_Toc509218749"/>
      <w:bookmarkStart w:id="412" w:name="_Toc287620724"/>
      <w:bookmarkStart w:id="413" w:name="_Toc177985697"/>
      <w:r>
        <w:rPr>
          <w:rFonts w:ascii="宋体" w:hAnsi="宋体"/>
          <w:b w:val="0"/>
          <w:snapToGrid w:val="0"/>
          <w:color w:val="auto"/>
          <w:sz w:val="24"/>
          <w:szCs w:val="24"/>
          <w:highlight w:val="none"/>
        </w:rPr>
        <w:t xml:space="preserve">7.1  </w:t>
      </w:r>
      <w:bookmarkEnd w:id="406"/>
      <w:bookmarkEnd w:id="407"/>
      <w:bookmarkEnd w:id="408"/>
      <w:bookmarkEnd w:id="409"/>
      <w:bookmarkEnd w:id="410"/>
      <w:bookmarkEnd w:id="411"/>
      <w:bookmarkEnd w:id="412"/>
      <w:r>
        <w:rPr>
          <w:rFonts w:hint="eastAsia" w:ascii="宋体" w:hAnsi="宋体"/>
          <w:b w:val="0"/>
          <w:snapToGrid w:val="0"/>
          <w:color w:val="auto"/>
          <w:sz w:val="24"/>
          <w:szCs w:val="24"/>
          <w:highlight w:val="none"/>
          <w:lang w:eastAsia="zh-CN"/>
        </w:rPr>
        <w:t>中标</w:t>
      </w:r>
      <w:r>
        <w:rPr>
          <w:rFonts w:hint="eastAsia" w:ascii="宋体" w:hAnsi="宋体"/>
          <w:b w:val="0"/>
          <w:snapToGrid w:val="0"/>
          <w:color w:val="auto"/>
          <w:sz w:val="24"/>
          <w:szCs w:val="24"/>
          <w:highlight w:val="none"/>
        </w:rPr>
        <w:t>候选人公示</w:t>
      </w:r>
      <w:bookmarkEnd w:id="413"/>
    </w:p>
    <w:p w14:paraId="0CC751B2">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招标人</w:t>
      </w:r>
      <w:r>
        <w:rPr>
          <w:rFonts w:ascii="宋体" w:hAnsi="宋体"/>
          <w:color w:val="auto"/>
          <w:szCs w:val="21"/>
          <w:highlight w:val="none"/>
        </w:rPr>
        <w:t>在收到评标报告之日起3日内，按照</w:t>
      </w:r>
      <w:r>
        <w:rPr>
          <w:rFonts w:hint="eastAsia" w:ascii="宋体" w:hAnsi="宋体"/>
          <w:color w:val="auto"/>
          <w:szCs w:val="21"/>
          <w:highlight w:val="none"/>
          <w:lang w:eastAsia="zh-CN"/>
        </w:rPr>
        <w:t>投标人</w:t>
      </w:r>
      <w:r>
        <w:rPr>
          <w:rFonts w:ascii="宋体" w:hAnsi="宋体"/>
          <w:color w:val="auto"/>
          <w:szCs w:val="21"/>
          <w:highlight w:val="none"/>
        </w:rPr>
        <w:t>须知前附表规定的公示媒介和期限公示</w:t>
      </w:r>
      <w:r>
        <w:rPr>
          <w:rFonts w:hint="eastAsia" w:ascii="宋体" w:hAnsi="宋体"/>
          <w:color w:val="auto"/>
          <w:szCs w:val="21"/>
          <w:highlight w:val="none"/>
          <w:lang w:eastAsia="zh-CN"/>
        </w:rPr>
        <w:t>中标</w:t>
      </w:r>
      <w:r>
        <w:rPr>
          <w:rFonts w:ascii="宋体" w:hAnsi="宋体"/>
          <w:color w:val="auto"/>
          <w:szCs w:val="21"/>
          <w:highlight w:val="none"/>
        </w:rPr>
        <w:t>候选人，公示期不得少于3天。</w:t>
      </w:r>
    </w:p>
    <w:p w14:paraId="2AFDAE9E">
      <w:pPr>
        <w:pStyle w:val="5"/>
        <w:adjustRightInd w:val="0"/>
        <w:snapToGrid w:val="0"/>
        <w:spacing w:before="0" w:after="0" w:line="360" w:lineRule="auto"/>
        <w:rPr>
          <w:rFonts w:ascii="宋体" w:hAnsi="宋体"/>
          <w:b w:val="0"/>
          <w:snapToGrid w:val="0"/>
          <w:color w:val="auto"/>
          <w:sz w:val="24"/>
          <w:szCs w:val="24"/>
          <w:highlight w:val="none"/>
        </w:rPr>
      </w:pPr>
      <w:bookmarkStart w:id="414" w:name="_Toc177985698"/>
      <w:r>
        <w:rPr>
          <w:rFonts w:ascii="宋体" w:hAnsi="宋体"/>
          <w:b w:val="0"/>
          <w:snapToGrid w:val="0"/>
          <w:color w:val="auto"/>
          <w:sz w:val="24"/>
          <w:szCs w:val="24"/>
          <w:highlight w:val="none"/>
        </w:rPr>
        <w:t xml:space="preserve">7.2  </w:t>
      </w:r>
      <w:r>
        <w:rPr>
          <w:rFonts w:hint="eastAsia" w:ascii="宋体" w:hAnsi="宋体"/>
          <w:b w:val="0"/>
          <w:snapToGrid w:val="0"/>
          <w:color w:val="auto"/>
          <w:sz w:val="24"/>
          <w:szCs w:val="24"/>
          <w:highlight w:val="none"/>
        </w:rPr>
        <w:t>评标结果异议</w:t>
      </w:r>
      <w:bookmarkEnd w:id="414"/>
    </w:p>
    <w:p w14:paraId="2795BFC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或者其他利害关系人对评标结果有异议的，应当在</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候选人公示期间提出。</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将在收到异议之日起 3 日内作出答复；作出答复前，将暂停</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w:t>
      </w:r>
    </w:p>
    <w:p w14:paraId="6EC183F5">
      <w:pPr>
        <w:pStyle w:val="5"/>
        <w:adjustRightInd w:val="0"/>
        <w:snapToGrid w:val="0"/>
        <w:spacing w:before="0" w:after="0" w:line="360" w:lineRule="auto"/>
        <w:rPr>
          <w:rFonts w:ascii="宋体" w:hAnsi="宋体"/>
          <w:b w:val="0"/>
          <w:snapToGrid w:val="0"/>
          <w:color w:val="auto"/>
          <w:sz w:val="24"/>
          <w:szCs w:val="24"/>
          <w:highlight w:val="none"/>
        </w:rPr>
      </w:pPr>
      <w:bookmarkStart w:id="415" w:name="_Toc177985699"/>
      <w:r>
        <w:rPr>
          <w:rFonts w:ascii="宋体" w:hAnsi="宋体"/>
          <w:b w:val="0"/>
          <w:snapToGrid w:val="0"/>
          <w:color w:val="auto"/>
          <w:sz w:val="24"/>
          <w:szCs w:val="24"/>
          <w:highlight w:val="none"/>
        </w:rPr>
        <w:t xml:space="preserve">7.3  </w:t>
      </w:r>
      <w:r>
        <w:rPr>
          <w:rFonts w:hint="eastAsia" w:ascii="宋体" w:hAnsi="宋体"/>
          <w:b w:val="0"/>
          <w:snapToGrid w:val="0"/>
          <w:color w:val="auto"/>
          <w:sz w:val="24"/>
          <w:szCs w:val="24"/>
          <w:highlight w:val="none"/>
          <w:lang w:eastAsia="zh-CN"/>
        </w:rPr>
        <w:t>中标</w:t>
      </w:r>
      <w:r>
        <w:rPr>
          <w:rFonts w:hint="eastAsia" w:ascii="宋体" w:hAnsi="宋体"/>
          <w:b w:val="0"/>
          <w:snapToGrid w:val="0"/>
          <w:color w:val="auto"/>
          <w:sz w:val="24"/>
          <w:szCs w:val="24"/>
          <w:highlight w:val="none"/>
        </w:rPr>
        <w:t>候选人履约能力审查</w:t>
      </w:r>
      <w:bookmarkEnd w:id="415"/>
    </w:p>
    <w:p w14:paraId="0A8E646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候选人的经营、财务状况发生较大变化或存在违法行为，</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认为可能影响其履约能力的，将在发出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通知书前提请原评标委员会按照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文件规定的标准和方法进行审查确认。</w:t>
      </w:r>
    </w:p>
    <w:p w14:paraId="550F91EA">
      <w:pPr>
        <w:pStyle w:val="5"/>
        <w:adjustRightInd w:val="0"/>
        <w:snapToGrid w:val="0"/>
        <w:spacing w:before="0" w:after="0" w:line="360" w:lineRule="auto"/>
        <w:rPr>
          <w:rFonts w:ascii="宋体" w:hAnsi="宋体"/>
          <w:b w:val="0"/>
          <w:snapToGrid w:val="0"/>
          <w:color w:val="auto"/>
          <w:sz w:val="24"/>
          <w:szCs w:val="24"/>
          <w:highlight w:val="none"/>
        </w:rPr>
      </w:pPr>
      <w:bookmarkStart w:id="416" w:name="_Toc177985700"/>
      <w:r>
        <w:rPr>
          <w:rFonts w:ascii="宋体" w:hAnsi="宋体"/>
          <w:b w:val="0"/>
          <w:snapToGrid w:val="0"/>
          <w:color w:val="auto"/>
          <w:sz w:val="24"/>
          <w:szCs w:val="24"/>
          <w:highlight w:val="none"/>
        </w:rPr>
        <w:t xml:space="preserve">7.4  </w:t>
      </w:r>
      <w:r>
        <w:rPr>
          <w:rFonts w:hint="eastAsia" w:ascii="宋体" w:hAnsi="宋体"/>
          <w:b w:val="0"/>
          <w:snapToGrid w:val="0"/>
          <w:color w:val="auto"/>
          <w:sz w:val="24"/>
          <w:szCs w:val="24"/>
          <w:highlight w:val="none"/>
        </w:rPr>
        <w:t>定标</w:t>
      </w:r>
      <w:bookmarkEnd w:id="416"/>
    </w:p>
    <w:p w14:paraId="0A0716C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按照</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须知前附表的规定，</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授权的评标委员会依法确定</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w:t>
      </w:r>
    </w:p>
    <w:p w14:paraId="67066A1F">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lang w:eastAsia="zh-CN"/>
        </w:rPr>
        <w:t>招标人</w:t>
      </w:r>
      <w:r>
        <w:rPr>
          <w:rFonts w:ascii="宋体" w:hAnsi="宋体"/>
          <w:color w:val="auto"/>
          <w:highlight w:val="none"/>
        </w:rPr>
        <w:t>应当确定排名第一的</w:t>
      </w:r>
      <w:r>
        <w:rPr>
          <w:rFonts w:hint="eastAsia" w:ascii="宋体" w:hAnsi="宋体"/>
          <w:color w:val="auto"/>
          <w:highlight w:val="none"/>
          <w:lang w:eastAsia="zh-CN"/>
        </w:rPr>
        <w:t>中标</w:t>
      </w:r>
      <w:r>
        <w:rPr>
          <w:rFonts w:ascii="宋体" w:hAnsi="宋体"/>
          <w:color w:val="auto"/>
          <w:highlight w:val="none"/>
        </w:rPr>
        <w:t>候选人为</w:t>
      </w:r>
      <w:r>
        <w:rPr>
          <w:rFonts w:hint="eastAsia" w:ascii="宋体" w:hAnsi="宋体"/>
          <w:color w:val="auto"/>
          <w:highlight w:val="none"/>
          <w:lang w:eastAsia="zh-CN"/>
        </w:rPr>
        <w:t>中标</w:t>
      </w:r>
      <w:r>
        <w:rPr>
          <w:rFonts w:ascii="宋体" w:hAnsi="宋体"/>
          <w:color w:val="auto"/>
          <w:highlight w:val="none"/>
        </w:rPr>
        <w:t>人。排名第一的</w:t>
      </w:r>
      <w:r>
        <w:rPr>
          <w:rFonts w:hint="eastAsia" w:ascii="宋体" w:hAnsi="宋体"/>
          <w:color w:val="auto"/>
          <w:highlight w:val="none"/>
          <w:lang w:eastAsia="zh-CN"/>
        </w:rPr>
        <w:t>中标</w:t>
      </w:r>
      <w:r>
        <w:rPr>
          <w:rFonts w:ascii="宋体" w:hAnsi="宋体"/>
          <w:color w:val="auto"/>
          <w:highlight w:val="none"/>
        </w:rPr>
        <w:t>候选人放弃</w:t>
      </w:r>
      <w:r>
        <w:rPr>
          <w:rFonts w:hint="eastAsia" w:ascii="宋体" w:hAnsi="宋体"/>
          <w:color w:val="auto"/>
          <w:highlight w:val="none"/>
          <w:lang w:eastAsia="zh-CN"/>
        </w:rPr>
        <w:t>中标</w:t>
      </w:r>
      <w:r>
        <w:rPr>
          <w:rFonts w:ascii="宋体" w:hAnsi="宋体"/>
          <w:color w:val="auto"/>
          <w:highlight w:val="none"/>
        </w:rPr>
        <w:t>、因不可抗力不能履行合同、不按照</w:t>
      </w:r>
      <w:r>
        <w:rPr>
          <w:rFonts w:hint="eastAsia" w:ascii="宋体" w:hAnsi="宋体"/>
          <w:color w:val="auto"/>
          <w:highlight w:val="none"/>
          <w:lang w:eastAsia="zh-CN"/>
        </w:rPr>
        <w:t>招标</w:t>
      </w:r>
      <w:r>
        <w:rPr>
          <w:rFonts w:ascii="宋体" w:hAnsi="宋体"/>
          <w:color w:val="auto"/>
          <w:highlight w:val="none"/>
        </w:rPr>
        <w:t>文件要求提交履约保证金，或者被查实存在影响</w:t>
      </w:r>
      <w:r>
        <w:rPr>
          <w:rFonts w:hint="eastAsia" w:ascii="宋体" w:hAnsi="宋体"/>
          <w:color w:val="auto"/>
          <w:highlight w:val="none"/>
          <w:lang w:eastAsia="zh-CN"/>
        </w:rPr>
        <w:t>中标</w:t>
      </w:r>
      <w:r>
        <w:rPr>
          <w:rFonts w:ascii="宋体" w:hAnsi="宋体"/>
          <w:color w:val="auto"/>
          <w:highlight w:val="none"/>
        </w:rPr>
        <w:t>结果的违法行为等情形，不符合</w:t>
      </w:r>
      <w:r>
        <w:rPr>
          <w:rFonts w:hint="eastAsia" w:ascii="宋体" w:hAnsi="宋体"/>
          <w:color w:val="auto"/>
          <w:highlight w:val="none"/>
          <w:lang w:eastAsia="zh-CN"/>
        </w:rPr>
        <w:t>中标</w:t>
      </w:r>
      <w:r>
        <w:rPr>
          <w:rFonts w:ascii="宋体" w:hAnsi="宋体"/>
          <w:color w:val="auto"/>
          <w:highlight w:val="none"/>
        </w:rPr>
        <w:t>条件的，</w:t>
      </w:r>
      <w:r>
        <w:rPr>
          <w:rFonts w:hint="eastAsia" w:ascii="宋体" w:hAnsi="宋体"/>
          <w:color w:val="auto"/>
          <w:highlight w:val="none"/>
          <w:lang w:eastAsia="zh-CN"/>
        </w:rPr>
        <w:t>招标人</w:t>
      </w:r>
      <w:r>
        <w:rPr>
          <w:rFonts w:ascii="宋体" w:hAnsi="宋体"/>
          <w:color w:val="auto"/>
          <w:highlight w:val="none"/>
        </w:rPr>
        <w:t>可以按照评标委员会提出的</w:t>
      </w:r>
      <w:r>
        <w:rPr>
          <w:rFonts w:hint="eastAsia" w:ascii="宋体" w:hAnsi="宋体"/>
          <w:color w:val="auto"/>
          <w:highlight w:val="none"/>
          <w:lang w:eastAsia="zh-CN"/>
        </w:rPr>
        <w:t>中标</w:t>
      </w:r>
      <w:r>
        <w:rPr>
          <w:rFonts w:ascii="宋体" w:hAnsi="宋体"/>
          <w:color w:val="auto"/>
          <w:highlight w:val="none"/>
        </w:rPr>
        <w:t>候选人名单排序依次确定其他</w:t>
      </w:r>
      <w:r>
        <w:rPr>
          <w:rFonts w:hint="eastAsia" w:ascii="宋体" w:hAnsi="宋体"/>
          <w:color w:val="auto"/>
          <w:highlight w:val="none"/>
          <w:lang w:eastAsia="zh-CN"/>
        </w:rPr>
        <w:t>中标</w:t>
      </w:r>
      <w:r>
        <w:rPr>
          <w:rFonts w:ascii="宋体" w:hAnsi="宋体"/>
          <w:color w:val="auto"/>
          <w:highlight w:val="none"/>
        </w:rPr>
        <w:t>候选人为</w:t>
      </w:r>
      <w:r>
        <w:rPr>
          <w:rFonts w:hint="eastAsia" w:ascii="宋体" w:hAnsi="宋体"/>
          <w:color w:val="auto"/>
          <w:highlight w:val="none"/>
          <w:lang w:eastAsia="zh-CN"/>
        </w:rPr>
        <w:t>中标</w:t>
      </w:r>
      <w:r>
        <w:rPr>
          <w:rFonts w:ascii="宋体" w:hAnsi="宋体"/>
          <w:color w:val="auto"/>
          <w:highlight w:val="none"/>
        </w:rPr>
        <w:t>人，也可以重新</w:t>
      </w:r>
      <w:r>
        <w:rPr>
          <w:rFonts w:hint="eastAsia" w:ascii="宋体" w:hAnsi="宋体"/>
          <w:color w:val="auto"/>
          <w:highlight w:val="none"/>
          <w:lang w:eastAsia="zh-CN"/>
        </w:rPr>
        <w:t>招标</w:t>
      </w:r>
      <w:r>
        <w:rPr>
          <w:rFonts w:ascii="宋体" w:hAnsi="宋体"/>
          <w:color w:val="auto"/>
          <w:highlight w:val="none"/>
        </w:rPr>
        <w:t>。</w:t>
      </w:r>
    </w:p>
    <w:p w14:paraId="162D1044">
      <w:pPr>
        <w:pStyle w:val="5"/>
        <w:adjustRightInd w:val="0"/>
        <w:snapToGrid w:val="0"/>
        <w:spacing w:before="0" w:after="0" w:line="360" w:lineRule="auto"/>
        <w:rPr>
          <w:rFonts w:ascii="宋体" w:hAnsi="宋体"/>
          <w:b w:val="0"/>
          <w:snapToGrid w:val="0"/>
          <w:color w:val="auto"/>
          <w:sz w:val="24"/>
          <w:szCs w:val="24"/>
          <w:highlight w:val="none"/>
        </w:rPr>
      </w:pPr>
      <w:bookmarkStart w:id="417" w:name="_Toc509218750"/>
      <w:bookmarkStart w:id="418" w:name="_Toc430530475"/>
      <w:bookmarkStart w:id="419" w:name="_Toc177985701"/>
      <w:r>
        <w:rPr>
          <w:rFonts w:ascii="宋体" w:hAnsi="宋体"/>
          <w:b w:val="0"/>
          <w:snapToGrid w:val="0"/>
          <w:color w:val="auto"/>
          <w:sz w:val="24"/>
          <w:szCs w:val="24"/>
          <w:highlight w:val="none"/>
        </w:rPr>
        <w:t xml:space="preserve">7.5  </w:t>
      </w:r>
      <w:r>
        <w:rPr>
          <w:rFonts w:hint="eastAsia" w:ascii="宋体" w:hAnsi="宋体"/>
          <w:b w:val="0"/>
          <w:snapToGrid w:val="0"/>
          <w:color w:val="auto"/>
          <w:sz w:val="24"/>
          <w:szCs w:val="24"/>
          <w:highlight w:val="none"/>
          <w:lang w:eastAsia="zh-CN"/>
        </w:rPr>
        <w:t>中标</w:t>
      </w:r>
      <w:r>
        <w:rPr>
          <w:rFonts w:ascii="宋体" w:hAnsi="宋体"/>
          <w:b w:val="0"/>
          <w:snapToGrid w:val="0"/>
          <w:color w:val="auto"/>
          <w:sz w:val="24"/>
          <w:szCs w:val="24"/>
          <w:highlight w:val="none"/>
        </w:rPr>
        <w:t>通知</w:t>
      </w:r>
      <w:bookmarkEnd w:id="417"/>
      <w:bookmarkEnd w:id="418"/>
      <w:bookmarkEnd w:id="419"/>
    </w:p>
    <w:p w14:paraId="7100316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在本章第3.3款规定的</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有效期内，且未有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以书面形式向</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人发出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同时将</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结果通知未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w:t>
      </w:r>
    </w:p>
    <w:p w14:paraId="0C92671D">
      <w:pPr>
        <w:pStyle w:val="5"/>
        <w:adjustRightInd w:val="0"/>
        <w:snapToGrid w:val="0"/>
        <w:spacing w:before="0" w:after="0" w:line="360" w:lineRule="auto"/>
        <w:rPr>
          <w:rFonts w:ascii="宋体" w:hAnsi="宋体"/>
          <w:b w:val="0"/>
          <w:snapToGrid w:val="0"/>
          <w:color w:val="auto"/>
          <w:sz w:val="24"/>
          <w:szCs w:val="24"/>
          <w:highlight w:val="none"/>
        </w:rPr>
      </w:pPr>
      <w:bookmarkStart w:id="420" w:name="_Toc177985702"/>
      <w:r>
        <w:rPr>
          <w:rFonts w:ascii="宋体" w:hAnsi="宋体"/>
          <w:b w:val="0"/>
          <w:snapToGrid w:val="0"/>
          <w:color w:val="auto"/>
          <w:sz w:val="24"/>
          <w:szCs w:val="24"/>
          <w:highlight w:val="none"/>
        </w:rPr>
        <w:t xml:space="preserve">7.6  </w:t>
      </w:r>
      <w:r>
        <w:rPr>
          <w:rFonts w:hint="eastAsia" w:ascii="宋体" w:hAnsi="宋体"/>
          <w:b w:val="0"/>
          <w:snapToGrid w:val="0"/>
          <w:color w:val="auto"/>
          <w:sz w:val="24"/>
          <w:szCs w:val="24"/>
          <w:highlight w:val="none"/>
        </w:rPr>
        <w:t>技术成果经济补偿</w:t>
      </w:r>
      <w:bookmarkEnd w:id="420"/>
    </w:p>
    <w:p w14:paraId="4886055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对符合</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文件规定的未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人的技术成果进行补偿的，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须知前附表规定的标准给予经济补偿，未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人在</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中声明放弃技术成果经济补偿费的除外。</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将于</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通知书发出后 30 日内向未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人支付技术成果经济补偿费。</w:t>
      </w:r>
    </w:p>
    <w:p w14:paraId="430E8210">
      <w:pPr>
        <w:pStyle w:val="5"/>
        <w:adjustRightInd w:val="0"/>
        <w:snapToGrid w:val="0"/>
        <w:spacing w:before="0" w:after="0" w:line="360" w:lineRule="auto"/>
        <w:rPr>
          <w:rFonts w:ascii="宋体" w:hAnsi="宋体"/>
          <w:b w:val="0"/>
          <w:snapToGrid w:val="0"/>
          <w:color w:val="auto"/>
          <w:sz w:val="24"/>
          <w:szCs w:val="24"/>
          <w:highlight w:val="none"/>
        </w:rPr>
      </w:pPr>
      <w:bookmarkStart w:id="421" w:name="_Toc224103358"/>
      <w:bookmarkStart w:id="422" w:name="_Toc430530476"/>
      <w:bookmarkStart w:id="423" w:name="_Toc200513167"/>
      <w:bookmarkStart w:id="424" w:name="_Toc509218751"/>
      <w:bookmarkStart w:id="425" w:name="_Toc287607787"/>
      <w:bookmarkStart w:id="426" w:name="_Toc177985703"/>
      <w:bookmarkStart w:id="427" w:name="_Toc287620726"/>
      <w:bookmarkStart w:id="428" w:name="_Toc277082593"/>
      <w:r>
        <w:rPr>
          <w:rFonts w:ascii="宋体" w:hAnsi="宋体"/>
          <w:b w:val="0"/>
          <w:snapToGrid w:val="0"/>
          <w:color w:val="auto"/>
          <w:sz w:val="24"/>
          <w:szCs w:val="24"/>
          <w:highlight w:val="none"/>
        </w:rPr>
        <w:t>7.7  履约担保</w:t>
      </w:r>
      <w:bookmarkEnd w:id="421"/>
      <w:bookmarkEnd w:id="422"/>
      <w:bookmarkEnd w:id="423"/>
      <w:bookmarkEnd w:id="424"/>
      <w:bookmarkEnd w:id="425"/>
      <w:bookmarkEnd w:id="426"/>
      <w:bookmarkEnd w:id="427"/>
      <w:bookmarkEnd w:id="428"/>
    </w:p>
    <w:p w14:paraId="345F05C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7.7.1  在签订合同前，</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人应按</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形式、金额</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文件第四章“合同条款及格式”规定的或者事先经过</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认可的履约担保格式向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提交履约担保。联合体</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的，其履约</w:t>
      </w:r>
      <w:r>
        <w:rPr>
          <w:rFonts w:hint="eastAsia" w:ascii="宋体" w:hAnsi="宋体"/>
          <w:snapToGrid w:val="0"/>
          <w:color w:val="auto"/>
          <w:kern w:val="0"/>
          <w:szCs w:val="21"/>
          <w:highlight w:val="none"/>
        </w:rPr>
        <w:t>担保由联合体牵头人或按照联合体协议的约定</w:t>
      </w:r>
      <w:r>
        <w:rPr>
          <w:rFonts w:ascii="宋体" w:hAnsi="宋体"/>
          <w:snapToGrid w:val="0"/>
          <w:color w:val="auto"/>
          <w:kern w:val="0"/>
          <w:szCs w:val="21"/>
          <w:highlight w:val="none"/>
        </w:rPr>
        <w:t>提交。</w:t>
      </w:r>
    </w:p>
    <w:p w14:paraId="60A1890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7.7.2  </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人不能按本章第7.7.1项要求提交履约担保的，视为放弃</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人还应当对超过部分予以赔偿。</w:t>
      </w:r>
    </w:p>
    <w:p w14:paraId="34418581">
      <w:pPr>
        <w:pStyle w:val="5"/>
        <w:adjustRightInd w:val="0"/>
        <w:snapToGrid w:val="0"/>
        <w:spacing w:before="0" w:after="0" w:line="360" w:lineRule="auto"/>
        <w:rPr>
          <w:rFonts w:ascii="宋体" w:hAnsi="宋体"/>
          <w:b w:val="0"/>
          <w:snapToGrid w:val="0"/>
          <w:color w:val="auto"/>
          <w:sz w:val="24"/>
          <w:szCs w:val="24"/>
          <w:highlight w:val="none"/>
        </w:rPr>
      </w:pPr>
      <w:bookmarkStart w:id="429" w:name="_Toc224103359"/>
      <w:bookmarkStart w:id="430" w:name="_Toc277082594"/>
      <w:bookmarkStart w:id="431" w:name="_Toc177985704"/>
      <w:bookmarkStart w:id="432" w:name="_Toc287607788"/>
      <w:bookmarkStart w:id="433" w:name="_Toc287620727"/>
      <w:bookmarkStart w:id="434" w:name="_Toc200513168"/>
      <w:bookmarkStart w:id="435" w:name="_Toc509218752"/>
      <w:bookmarkStart w:id="436" w:name="_Toc430530477"/>
      <w:r>
        <w:rPr>
          <w:rFonts w:ascii="宋体" w:hAnsi="宋体"/>
          <w:b w:val="0"/>
          <w:snapToGrid w:val="0"/>
          <w:color w:val="auto"/>
          <w:sz w:val="24"/>
          <w:szCs w:val="24"/>
          <w:highlight w:val="none"/>
        </w:rPr>
        <w:t>7.8  签订合同</w:t>
      </w:r>
      <w:bookmarkEnd w:id="429"/>
      <w:bookmarkEnd w:id="430"/>
      <w:bookmarkEnd w:id="431"/>
      <w:bookmarkEnd w:id="432"/>
      <w:bookmarkEnd w:id="433"/>
      <w:bookmarkEnd w:id="434"/>
      <w:bookmarkEnd w:id="435"/>
      <w:bookmarkEnd w:id="436"/>
    </w:p>
    <w:p w14:paraId="0D2DB77C">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7.8.1 </w:t>
      </w:r>
      <w:r>
        <w:rPr>
          <w:rFonts w:hint="eastAsia" w:ascii="宋体" w:hAnsi="宋体"/>
          <w:snapToGrid w:val="0"/>
          <w:color w:val="auto"/>
          <w:kern w:val="0"/>
          <w:szCs w:val="21"/>
          <w:highlight w:val="none"/>
        </w:rPr>
        <w:t xml:space="preserve"> </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和</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人应当自</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通知书发出之日起30</w:t>
      </w:r>
      <w:r>
        <w:rPr>
          <w:rFonts w:hint="eastAsia" w:ascii="宋体" w:hAnsi="宋体"/>
          <w:snapToGrid w:val="0"/>
          <w:color w:val="auto"/>
          <w:kern w:val="0"/>
          <w:szCs w:val="21"/>
          <w:highlight w:val="none"/>
        </w:rPr>
        <w:t>日</w:t>
      </w:r>
      <w:r>
        <w:rPr>
          <w:rFonts w:ascii="宋体" w:hAnsi="宋体"/>
          <w:snapToGrid w:val="0"/>
          <w:color w:val="auto"/>
          <w:kern w:val="0"/>
          <w:szCs w:val="21"/>
          <w:highlight w:val="none"/>
        </w:rPr>
        <w:t>内，根据</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文件和</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人的</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订立书面合同。</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w:t>
      </w:r>
      <w:r>
        <w:rPr>
          <w:rFonts w:hint="eastAsia" w:ascii="宋体" w:hAnsi="宋体"/>
          <w:snapToGrid w:val="0"/>
          <w:color w:val="auto"/>
          <w:kern w:val="0"/>
          <w:szCs w:val="21"/>
          <w:highlight w:val="none"/>
        </w:rPr>
        <w:t>放弃</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拒签合同，在签订合同时向</w:t>
      </w:r>
      <w:r>
        <w:rPr>
          <w:rFonts w:hint="eastAsia" w:ascii="宋体" w:hAnsi="宋体"/>
          <w:snapToGrid w:val="0"/>
          <w:color w:val="auto"/>
          <w:kern w:val="0"/>
          <w:szCs w:val="21"/>
          <w:highlight w:val="none"/>
          <w:lang w:eastAsia="zh-CN"/>
        </w:rPr>
        <w:t>招标人</w:t>
      </w:r>
      <w:r>
        <w:rPr>
          <w:rFonts w:hint="eastAsia" w:ascii="宋体" w:hAnsi="宋体"/>
          <w:snapToGrid w:val="0"/>
          <w:color w:val="auto"/>
          <w:kern w:val="0"/>
          <w:szCs w:val="21"/>
          <w:highlight w:val="none"/>
        </w:rPr>
        <w:t>提出附加条件或者更改合同实质性内容</w:t>
      </w:r>
      <w:r>
        <w:rPr>
          <w:rFonts w:ascii="宋体" w:hAnsi="宋体"/>
          <w:snapToGrid w:val="0"/>
          <w:color w:val="auto"/>
          <w:kern w:val="0"/>
          <w:szCs w:val="21"/>
          <w:highlight w:val="none"/>
        </w:rPr>
        <w:t>，</w:t>
      </w:r>
      <w:r>
        <w:rPr>
          <w:rFonts w:hint="eastAsia" w:ascii="宋体" w:hAnsi="宋体" w:cs="宋体"/>
          <w:color w:val="auto"/>
          <w:szCs w:val="21"/>
          <w:highlight w:val="none"/>
        </w:rPr>
        <w:t>或者不按照</w:t>
      </w:r>
      <w:r>
        <w:rPr>
          <w:rFonts w:hint="eastAsia" w:ascii="宋体" w:hAnsi="宋体" w:cs="宋体"/>
          <w:color w:val="auto"/>
          <w:szCs w:val="21"/>
          <w:highlight w:val="none"/>
          <w:lang w:eastAsia="zh-CN"/>
        </w:rPr>
        <w:t>招标</w:t>
      </w:r>
      <w:r>
        <w:rPr>
          <w:rFonts w:hint="eastAsia" w:ascii="宋体" w:hAnsi="宋体" w:cs="宋体"/>
          <w:color w:val="auto"/>
          <w:szCs w:val="21"/>
          <w:highlight w:val="none"/>
        </w:rPr>
        <w:t>文件要求提交履约担保的，</w:t>
      </w:r>
      <w:r>
        <w:rPr>
          <w:rFonts w:hint="eastAsia" w:ascii="宋体" w:hAnsi="宋体"/>
          <w:snapToGrid w:val="0"/>
          <w:color w:val="auto"/>
          <w:kern w:val="0"/>
          <w:szCs w:val="21"/>
          <w:highlight w:val="none"/>
          <w:lang w:eastAsia="zh-CN"/>
        </w:rPr>
        <w:t>招标人</w:t>
      </w:r>
      <w:r>
        <w:rPr>
          <w:rFonts w:ascii="宋体" w:hAnsi="宋体"/>
          <w:color w:val="auto"/>
          <w:spacing w:val="-3"/>
          <w:highlight w:val="none"/>
        </w:rPr>
        <w:t>有权</w:t>
      </w:r>
      <w:r>
        <w:rPr>
          <w:rFonts w:ascii="宋体" w:hAnsi="宋体"/>
          <w:snapToGrid w:val="0"/>
          <w:color w:val="auto"/>
          <w:kern w:val="0"/>
          <w:szCs w:val="21"/>
          <w:highlight w:val="none"/>
        </w:rPr>
        <w:t>取消其</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资格，其</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保证金不予退还；给</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造成的损失超过</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保证金数额的，</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人还应当对超过部分予以赔偿。</w:t>
      </w:r>
    </w:p>
    <w:p w14:paraId="0E443B92">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7.8.2  发出</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无正当理由拒签合同，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人提出附加条件或者更改合同实质性内容的，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向</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人退还</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保证金；给</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人造成损失的，还应当赔偿损失。</w:t>
      </w:r>
    </w:p>
    <w:p w14:paraId="5F0255FF">
      <w:pPr>
        <w:autoSpaceDE w:val="0"/>
        <w:autoSpaceDN w:val="0"/>
        <w:adjustRightInd w:val="0"/>
        <w:snapToGrid w:val="0"/>
        <w:spacing w:line="360" w:lineRule="auto"/>
        <w:ind w:firstLine="420"/>
        <w:rPr>
          <w:rFonts w:ascii="宋体" w:hAnsi="宋体"/>
          <w:color w:val="auto"/>
          <w:highlight w:val="none"/>
        </w:rPr>
      </w:pPr>
      <w:r>
        <w:rPr>
          <w:rFonts w:ascii="宋体" w:hAnsi="宋体"/>
          <w:snapToGrid w:val="0"/>
          <w:color w:val="auto"/>
          <w:kern w:val="0"/>
          <w:szCs w:val="21"/>
          <w:highlight w:val="none"/>
        </w:rPr>
        <w:t>7.8.3  联合体</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的，联合体各方应当共同与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签订合同，就</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项目向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承担连带责任。</w:t>
      </w:r>
    </w:p>
    <w:p w14:paraId="2F7A11EF">
      <w:pPr>
        <w:pStyle w:val="4"/>
        <w:adjustRightInd w:val="0"/>
        <w:snapToGrid w:val="0"/>
        <w:spacing w:before="0" w:after="0" w:line="360" w:lineRule="auto"/>
        <w:rPr>
          <w:rFonts w:hint="eastAsia" w:ascii="宋体" w:hAnsi="宋体" w:eastAsia="宋体"/>
          <w:b w:val="0"/>
          <w:snapToGrid w:val="0"/>
          <w:color w:val="auto"/>
          <w:highlight w:val="none"/>
          <w:lang w:eastAsia="zh-CN"/>
        </w:rPr>
      </w:pPr>
      <w:bookmarkStart w:id="437" w:name="_Toc430530478"/>
      <w:bookmarkStart w:id="438" w:name="_Toc287620728"/>
      <w:bookmarkStart w:id="439" w:name="_Toc509218753"/>
      <w:bookmarkStart w:id="440" w:name="_Toc287607789"/>
      <w:bookmarkStart w:id="441" w:name="_Toc277082595"/>
      <w:bookmarkStart w:id="442" w:name="_Toc177985705"/>
      <w:bookmarkStart w:id="443" w:name="_Toc224103360"/>
      <w:bookmarkStart w:id="444" w:name="_Toc200513169"/>
      <w:r>
        <w:rPr>
          <w:rFonts w:ascii="宋体" w:hAnsi="宋体"/>
          <w:b w:val="0"/>
          <w:snapToGrid w:val="0"/>
          <w:color w:val="auto"/>
          <w:highlight w:val="none"/>
        </w:rPr>
        <w:t>8.  重新</w:t>
      </w:r>
      <w:r>
        <w:rPr>
          <w:rFonts w:hint="eastAsia" w:ascii="宋体" w:hAnsi="宋体"/>
          <w:b w:val="0"/>
          <w:snapToGrid w:val="0"/>
          <w:color w:val="auto"/>
          <w:highlight w:val="none"/>
          <w:lang w:eastAsia="zh-CN"/>
        </w:rPr>
        <w:t>招标</w:t>
      </w:r>
      <w:r>
        <w:rPr>
          <w:rFonts w:ascii="宋体" w:hAnsi="宋体"/>
          <w:b w:val="0"/>
          <w:snapToGrid w:val="0"/>
          <w:color w:val="auto"/>
          <w:highlight w:val="none"/>
        </w:rPr>
        <w:t>和不再</w:t>
      </w:r>
      <w:bookmarkEnd w:id="437"/>
      <w:bookmarkEnd w:id="438"/>
      <w:bookmarkEnd w:id="439"/>
      <w:bookmarkEnd w:id="440"/>
      <w:bookmarkEnd w:id="441"/>
      <w:bookmarkEnd w:id="442"/>
      <w:bookmarkEnd w:id="443"/>
      <w:bookmarkEnd w:id="444"/>
      <w:r>
        <w:rPr>
          <w:rFonts w:hint="eastAsia" w:ascii="宋体" w:hAnsi="宋体"/>
          <w:b w:val="0"/>
          <w:snapToGrid w:val="0"/>
          <w:color w:val="auto"/>
          <w:highlight w:val="none"/>
          <w:lang w:eastAsia="zh-CN"/>
        </w:rPr>
        <w:t>招标</w:t>
      </w:r>
    </w:p>
    <w:p w14:paraId="410A03F5">
      <w:pPr>
        <w:pStyle w:val="5"/>
        <w:adjustRightInd w:val="0"/>
        <w:snapToGrid w:val="0"/>
        <w:spacing w:before="0" w:after="0" w:line="360" w:lineRule="auto"/>
        <w:rPr>
          <w:rFonts w:ascii="宋体" w:hAnsi="宋体"/>
          <w:b w:val="0"/>
          <w:snapToGrid w:val="0"/>
          <w:color w:val="auto"/>
          <w:sz w:val="24"/>
          <w:szCs w:val="24"/>
          <w:highlight w:val="none"/>
        </w:rPr>
      </w:pPr>
      <w:bookmarkStart w:id="445" w:name="_Toc277082596"/>
      <w:bookmarkStart w:id="446" w:name="_Toc509218754"/>
      <w:bookmarkStart w:id="447" w:name="_Toc287620729"/>
      <w:bookmarkStart w:id="448" w:name="_Toc430530479"/>
      <w:bookmarkStart w:id="449" w:name="_Toc287607790"/>
      <w:bookmarkStart w:id="450" w:name="_Toc224103361"/>
      <w:bookmarkStart w:id="451" w:name="_Toc200513170"/>
      <w:bookmarkStart w:id="452" w:name="_Toc177985706"/>
      <w:r>
        <w:rPr>
          <w:rFonts w:ascii="宋体" w:hAnsi="宋体"/>
          <w:b w:val="0"/>
          <w:snapToGrid w:val="0"/>
          <w:color w:val="auto"/>
          <w:sz w:val="24"/>
          <w:szCs w:val="24"/>
          <w:highlight w:val="none"/>
        </w:rPr>
        <w:t>8.1  重新</w:t>
      </w:r>
      <w:bookmarkEnd w:id="445"/>
      <w:bookmarkEnd w:id="446"/>
      <w:bookmarkEnd w:id="447"/>
      <w:bookmarkEnd w:id="448"/>
      <w:bookmarkEnd w:id="449"/>
      <w:bookmarkEnd w:id="450"/>
      <w:bookmarkEnd w:id="451"/>
      <w:r>
        <w:rPr>
          <w:rFonts w:hint="eastAsia" w:ascii="宋体" w:hAnsi="宋体"/>
          <w:b w:val="0"/>
          <w:snapToGrid w:val="0"/>
          <w:color w:val="auto"/>
          <w:sz w:val="24"/>
          <w:szCs w:val="24"/>
          <w:highlight w:val="none"/>
          <w:lang w:eastAsia="zh-CN"/>
        </w:rPr>
        <w:t>招标</w:t>
      </w:r>
      <w:r>
        <w:rPr>
          <w:rFonts w:hint="eastAsia" w:ascii="宋体" w:hAnsi="宋体"/>
          <w:b w:val="0"/>
          <w:snapToGrid w:val="0"/>
          <w:color w:val="auto"/>
          <w:sz w:val="24"/>
          <w:szCs w:val="24"/>
          <w:highlight w:val="none"/>
        </w:rPr>
        <w:t>的情形</w:t>
      </w:r>
      <w:bookmarkEnd w:id="452"/>
    </w:p>
    <w:p w14:paraId="01950DB2">
      <w:pPr>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将重新</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w:t>
      </w:r>
    </w:p>
    <w:p w14:paraId="135EE6F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截止时间止，</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少于</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个的；</w:t>
      </w:r>
    </w:p>
    <w:p w14:paraId="448F331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的；</w:t>
      </w:r>
    </w:p>
    <w:p w14:paraId="38C738C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）法律法规规定的其他情形。</w:t>
      </w:r>
    </w:p>
    <w:p w14:paraId="2507D206">
      <w:pPr>
        <w:pStyle w:val="5"/>
        <w:adjustRightInd w:val="0"/>
        <w:snapToGrid w:val="0"/>
        <w:spacing w:before="0" w:after="0" w:line="360" w:lineRule="auto"/>
        <w:rPr>
          <w:rFonts w:hint="eastAsia" w:ascii="宋体" w:hAnsi="宋体" w:eastAsia="宋体"/>
          <w:b w:val="0"/>
          <w:snapToGrid w:val="0"/>
          <w:color w:val="auto"/>
          <w:sz w:val="24"/>
          <w:szCs w:val="24"/>
          <w:highlight w:val="none"/>
          <w:lang w:eastAsia="zh-CN"/>
        </w:rPr>
      </w:pPr>
      <w:bookmarkStart w:id="453" w:name="_Toc277082597"/>
      <w:bookmarkStart w:id="454" w:name="_Toc430530480"/>
      <w:bookmarkStart w:id="455" w:name="_Toc200513171"/>
      <w:bookmarkStart w:id="456" w:name="_Toc287607791"/>
      <w:bookmarkStart w:id="457" w:name="_Toc287620730"/>
      <w:bookmarkStart w:id="458" w:name="_Toc177985707"/>
      <w:bookmarkStart w:id="459" w:name="_Toc509218755"/>
      <w:bookmarkStart w:id="460" w:name="_Toc224103362"/>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hint="eastAsia" w:ascii="宋体" w:hAnsi="宋体"/>
          <w:b w:val="0"/>
          <w:snapToGrid w:val="0"/>
          <w:color w:val="auto"/>
          <w:sz w:val="24"/>
          <w:szCs w:val="24"/>
          <w:highlight w:val="none"/>
          <w:lang w:eastAsia="zh-CN"/>
        </w:rPr>
        <w:t>招标</w:t>
      </w:r>
      <w:r>
        <w:rPr>
          <w:rFonts w:ascii="宋体" w:hAnsi="宋体"/>
          <w:b w:val="0"/>
          <w:snapToGrid w:val="0"/>
          <w:color w:val="auto"/>
          <w:sz w:val="24"/>
          <w:szCs w:val="24"/>
          <w:highlight w:val="none"/>
        </w:rPr>
        <w:t>和不再</w:t>
      </w:r>
      <w:bookmarkEnd w:id="453"/>
      <w:bookmarkEnd w:id="454"/>
      <w:bookmarkEnd w:id="455"/>
      <w:bookmarkEnd w:id="456"/>
      <w:bookmarkEnd w:id="457"/>
      <w:bookmarkEnd w:id="458"/>
      <w:bookmarkEnd w:id="459"/>
      <w:bookmarkEnd w:id="460"/>
      <w:r>
        <w:rPr>
          <w:rFonts w:hint="eastAsia" w:ascii="宋体" w:hAnsi="宋体"/>
          <w:b w:val="0"/>
          <w:snapToGrid w:val="0"/>
          <w:color w:val="auto"/>
          <w:sz w:val="24"/>
          <w:szCs w:val="24"/>
          <w:highlight w:val="none"/>
          <w:lang w:eastAsia="zh-CN"/>
        </w:rPr>
        <w:t>招标</w:t>
      </w:r>
    </w:p>
    <w:p w14:paraId="6943CF6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的</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仍然少于三个的，按照规定的程序开标和评标。重新</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经评审有有效</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的，应当依法确定</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候选人；无有效</w:t>
      </w:r>
      <w:r>
        <w:rPr>
          <w:rFonts w:hint="eastAsia" w:ascii="宋体" w:hAnsi="宋体"/>
          <w:snapToGrid w:val="0"/>
          <w:color w:val="auto"/>
          <w:kern w:val="0"/>
          <w:szCs w:val="21"/>
          <w:highlight w:val="none"/>
          <w:lang w:eastAsia="zh-CN"/>
        </w:rPr>
        <w:t>投标人</w:t>
      </w:r>
      <w:r>
        <w:rPr>
          <w:rFonts w:hint="eastAsia" w:ascii="宋体" w:hAnsi="宋体"/>
          <w:snapToGrid w:val="0"/>
          <w:color w:val="auto"/>
          <w:kern w:val="0"/>
          <w:szCs w:val="21"/>
          <w:highlight w:val="none"/>
        </w:rPr>
        <w:t>的，可以不再进行</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，但是按照国家有关规定需要履行审批、核准、备案手续的项目，应当报原项目投资主管部门审批、核准、备案</w:t>
      </w:r>
      <w:r>
        <w:rPr>
          <w:rFonts w:ascii="宋体" w:hAnsi="宋体"/>
          <w:snapToGrid w:val="0"/>
          <w:color w:val="auto"/>
          <w:kern w:val="0"/>
          <w:szCs w:val="21"/>
          <w:highlight w:val="none"/>
        </w:rPr>
        <w:t>。</w:t>
      </w:r>
    </w:p>
    <w:p w14:paraId="72E1637D">
      <w:pPr>
        <w:pStyle w:val="4"/>
        <w:adjustRightInd w:val="0"/>
        <w:snapToGrid w:val="0"/>
        <w:spacing w:before="0" w:after="0" w:line="360" w:lineRule="auto"/>
        <w:rPr>
          <w:rFonts w:ascii="宋体" w:hAnsi="宋体"/>
          <w:b w:val="0"/>
          <w:snapToGrid w:val="0"/>
          <w:color w:val="auto"/>
          <w:highlight w:val="none"/>
        </w:rPr>
      </w:pPr>
      <w:bookmarkStart w:id="461" w:name="_Toc177985708"/>
      <w:bookmarkStart w:id="462" w:name="_Toc287607792"/>
      <w:bookmarkStart w:id="463" w:name="_Toc277082598"/>
      <w:bookmarkStart w:id="464" w:name="_Toc200513172"/>
      <w:bookmarkStart w:id="465" w:name="_Toc509218756"/>
      <w:bookmarkStart w:id="466" w:name="_Toc430530481"/>
      <w:bookmarkStart w:id="467" w:name="_Toc224103363"/>
      <w:bookmarkStart w:id="468" w:name="_Toc287620731"/>
      <w:r>
        <w:rPr>
          <w:rFonts w:ascii="宋体" w:hAnsi="宋体"/>
          <w:b w:val="0"/>
          <w:snapToGrid w:val="0"/>
          <w:color w:val="auto"/>
          <w:highlight w:val="none"/>
        </w:rPr>
        <w:t>9.  纪律和监督</w:t>
      </w:r>
      <w:bookmarkEnd w:id="461"/>
      <w:bookmarkEnd w:id="462"/>
      <w:bookmarkEnd w:id="463"/>
      <w:bookmarkEnd w:id="464"/>
      <w:bookmarkEnd w:id="465"/>
      <w:bookmarkEnd w:id="466"/>
      <w:bookmarkEnd w:id="467"/>
      <w:bookmarkEnd w:id="468"/>
    </w:p>
    <w:p w14:paraId="230F0F2C">
      <w:pPr>
        <w:pStyle w:val="5"/>
        <w:adjustRightInd w:val="0"/>
        <w:snapToGrid w:val="0"/>
        <w:spacing w:before="0" w:after="0" w:line="360" w:lineRule="auto"/>
        <w:rPr>
          <w:rFonts w:ascii="宋体" w:hAnsi="宋体"/>
          <w:b w:val="0"/>
          <w:snapToGrid w:val="0"/>
          <w:color w:val="auto"/>
          <w:sz w:val="24"/>
          <w:szCs w:val="24"/>
          <w:highlight w:val="none"/>
        </w:rPr>
      </w:pPr>
      <w:bookmarkStart w:id="469" w:name="_Toc430530482"/>
      <w:bookmarkStart w:id="470" w:name="_Toc200513173"/>
      <w:bookmarkStart w:id="471" w:name="_Toc177985709"/>
      <w:bookmarkStart w:id="472" w:name="_Toc224103364"/>
      <w:bookmarkStart w:id="473" w:name="_Toc277082599"/>
      <w:bookmarkStart w:id="474" w:name="_Toc509218757"/>
      <w:bookmarkStart w:id="475" w:name="_Toc287607793"/>
      <w:bookmarkStart w:id="476" w:name="_Toc28762073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招标人</w:t>
      </w:r>
      <w:r>
        <w:rPr>
          <w:rFonts w:ascii="宋体" w:hAnsi="宋体"/>
          <w:b w:val="0"/>
          <w:snapToGrid w:val="0"/>
          <w:color w:val="auto"/>
          <w:sz w:val="24"/>
          <w:szCs w:val="24"/>
          <w:highlight w:val="none"/>
        </w:rPr>
        <w:t>的纪律要求</w:t>
      </w:r>
      <w:bookmarkEnd w:id="469"/>
      <w:bookmarkEnd w:id="470"/>
      <w:bookmarkEnd w:id="471"/>
      <w:bookmarkEnd w:id="472"/>
      <w:bookmarkEnd w:id="473"/>
      <w:bookmarkEnd w:id="474"/>
      <w:bookmarkEnd w:id="475"/>
      <w:bookmarkEnd w:id="476"/>
    </w:p>
    <w:p w14:paraId="250FB530">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不得泄露</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活动中应当保密的情况和资料，不得与</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招标人</w:t>
      </w:r>
      <w:r>
        <w:rPr>
          <w:rFonts w:ascii="宋体" w:hAnsi="宋体"/>
          <w:color w:val="auto"/>
          <w:highlight w:val="none"/>
        </w:rPr>
        <w:t>与</w:t>
      </w:r>
      <w:r>
        <w:rPr>
          <w:rFonts w:hint="eastAsia" w:ascii="宋体" w:hAnsi="宋体"/>
          <w:color w:val="auto"/>
          <w:highlight w:val="none"/>
          <w:lang w:eastAsia="zh-CN"/>
        </w:rPr>
        <w:t>投标人</w:t>
      </w:r>
      <w:r>
        <w:rPr>
          <w:rFonts w:ascii="宋体" w:hAnsi="宋体"/>
          <w:color w:val="auto"/>
          <w:highlight w:val="none"/>
        </w:rPr>
        <w:t>串通</w:t>
      </w:r>
      <w:r>
        <w:rPr>
          <w:rFonts w:hint="eastAsia" w:ascii="宋体" w:hAnsi="宋体"/>
          <w:color w:val="auto"/>
          <w:highlight w:val="none"/>
          <w:lang w:eastAsia="zh-CN"/>
        </w:rPr>
        <w:t>投标</w:t>
      </w:r>
      <w:r>
        <w:rPr>
          <w:rFonts w:ascii="宋体" w:hAnsi="宋体"/>
          <w:color w:val="auto"/>
          <w:highlight w:val="none"/>
        </w:rPr>
        <w:t>。</w:t>
      </w:r>
    </w:p>
    <w:p w14:paraId="7016AE2C">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招标人</w:t>
      </w:r>
      <w:r>
        <w:rPr>
          <w:rFonts w:ascii="宋体" w:hAnsi="宋体"/>
          <w:color w:val="auto"/>
          <w:highlight w:val="none"/>
        </w:rPr>
        <w:t>与</w:t>
      </w:r>
      <w:r>
        <w:rPr>
          <w:rFonts w:hint="eastAsia" w:ascii="宋体" w:hAnsi="宋体"/>
          <w:color w:val="auto"/>
          <w:highlight w:val="none"/>
          <w:lang w:eastAsia="zh-CN"/>
        </w:rPr>
        <w:t>投标人</w:t>
      </w:r>
      <w:r>
        <w:rPr>
          <w:rFonts w:ascii="宋体" w:hAnsi="宋体"/>
          <w:color w:val="auto"/>
          <w:highlight w:val="none"/>
        </w:rPr>
        <w:t>串通</w:t>
      </w:r>
      <w:r>
        <w:rPr>
          <w:rFonts w:hint="eastAsia" w:ascii="宋体" w:hAnsi="宋体"/>
          <w:color w:val="auto"/>
          <w:highlight w:val="none"/>
          <w:lang w:eastAsia="zh-CN"/>
        </w:rPr>
        <w:t>投标</w:t>
      </w:r>
      <w:r>
        <w:rPr>
          <w:rFonts w:ascii="宋体" w:hAnsi="宋体"/>
          <w:color w:val="auto"/>
          <w:highlight w:val="none"/>
        </w:rPr>
        <w:t>：</w:t>
      </w:r>
    </w:p>
    <w:p w14:paraId="7E6EFD66">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招标人</w:t>
      </w:r>
      <w:r>
        <w:rPr>
          <w:rFonts w:ascii="宋体" w:hAnsi="宋体"/>
          <w:color w:val="auto"/>
          <w:highlight w:val="none"/>
        </w:rPr>
        <w:t>在开标前开启</w:t>
      </w:r>
      <w:r>
        <w:rPr>
          <w:rFonts w:hint="eastAsia" w:ascii="宋体" w:hAnsi="宋体"/>
          <w:color w:val="auto"/>
          <w:highlight w:val="none"/>
          <w:lang w:eastAsia="zh-CN"/>
        </w:rPr>
        <w:t>投标文件</w:t>
      </w:r>
      <w:r>
        <w:rPr>
          <w:rFonts w:ascii="宋体" w:hAnsi="宋体"/>
          <w:color w:val="auto"/>
          <w:highlight w:val="none"/>
        </w:rPr>
        <w:t>并将有关信息泄露给其他</w:t>
      </w:r>
      <w:r>
        <w:rPr>
          <w:rFonts w:hint="eastAsia" w:ascii="宋体" w:hAnsi="宋体"/>
          <w:color w:val="auto"/>
          <w:highlight w:val="none"/>
          <w:lang w:eastAsia="zh-CN"/>
        </w:rPr>
        <w:t>投标人</w:t>
      </w:r>
      <w:r>
        <w:rPr>
          <w:rFonts w:hint="eastAsia" w:ascii="宋体" w:hAnsi="宋体"/>
          <w:color w:val="auto"/>
          <w:highlight w:val="none"/>
        </w:rPr>
        <w:t>；</w:t>
      </w:r>
    </w:p>
    <w:p w14:paraId="4A9D23BC">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招标人</w:t>
      </w:r>
      <w:r>
        <w:rPr>
          <w:rFonts w:ascii="宋体" w:hAnsi="宋体"/>
          <w:color w:val="auto"/>
          <w:highlight w:val="none"/>
        </w:rPr>
        <w:t>直接或者间接向</w:t>
      </w:r>
      <w:r>
        <w:rPr>
          <w:rFonts w:hint="eastAsia" w:ascii="宋体" w:hAnsi="宋体"/>
          <w:color w:val="auto"/>
          <w:highlight w:val="none"/>
          <w:lang w:eastAsia="zh-CN"/>
        </w:rPr>
        <w:t>投标人</w:t>
      </w:r>
      <w:r>
        <w:rPr>
          <w:rFonts w:ascii="宋体" w:hAnsi="宋体"/>
          <w:color w:val="auto"/>
          <w:highlight w:val="none"/>
        </w:rPr>
        <w:t>泄露标底、评标委员会成员等信息；</w:t>
      </w:r>
    </w:p>
    <w:p w14:paraId="4DFED619">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招标人</w:t>
      </w:r>
      <w:r>
        <w:rPr>
          <w:rFonts w:ascii="宋体" w:hAnsi="宋体"/>
          <w:color w:val="auto"/>
          <w:highlight w:val="none"/>
        </w:rPr>
        <w:t>明示或者暗示</w:t>
      </w:r>
      <w:r>
        <w:rPr>
          <w:rFonts w:hint="eastAsia" w:ascii="宋体" w:hAnsi="宋体"/>
          <w:color w:val="auto"/>
          <w:highlight w:val="none"/>
          <w:lang w:eastAsia="zh-CN"/>
        </w:rPr>
        <w:t>投标人</w:t>
      </w:r>
      <w:r>
        <w:rPr>
          <w:rFonts w:ascii="宋体" w:hAnsi="宋体"/>
          <w:color w:val="auto"/>
          <w:highlight w:val="none"/>
        </w:rPr>
        <w:t>压低或者抬高</w:t>
      </w:r>
      <w:r>
        <w:rPr>
          <w:rFonts w:hint="eastAsia" w:ascii="宋体" w:hAnsi="宋体"/>
          <w:color w:val="auto"/>
          <w:highlight w:val="none"/>
          <w:lang w:eastAsia="zh-CN"/>
        </w:rPr>
        <w:t>投标</w:t>
      </w:r>
      <w:r>
        <w:rPr>
          <w:rFonts w:ascii="宋体" w:hAnsi="宋体"/>
          <w:color w:val="auto"/>
          <w:highlight w:val="none"/>
        </w:rPr>
        <w:t>报价；</w:t>
      </w:r>
    </w:p>
    <w:p w14:paraId="2C07B02E">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招标人</w:t>
      </w:r>
      <w:r>
        <w:rPr>
          <w:rFonts w:ascii="宋体" w:hAnsi="宋体"/>
          <w:color w:val="auto"/>
          <w:highlight w:val="none"/>
        </w:rPr>
        <w:t>授意</w:t>
      </w:r>
      <w:r>
        <w:rPr>
          <w:rFonts w:hint="eastAsia" w:ascii="宋体" w:hAnsi="宋体"/>
          <w:color w:val="auto"/>
          <w:highlight w:val="none"/>
          <w:lang w:eastAsia="zh-CN"/>
        </w:rPr>
        <w:t>投标人</w:t>
      </w:r>
      <w:r>
        <w:rPr>
          <w:rFonts w:ascii="宋体" w:hAnsi="宋体"/>
          <w:color w:val="auto"/>
          <w:highlight w:val="none"/>
        </w:rPr>
        <w:t>撤换、修改</w:t>
      </w:r>
      <w:r>
        <w:rPr>
          <w:rFonts w:hint="eastAsia" w:ascii="宋体" w:hAnsi="宋体"/>
          <w:color w:val="auto"/>
          <w:highlight w:val="none"/>
          <w:lang w:eastAsia="zh-CN"/>
        </w:rPr>
        <w:t>投标文件</w:t>
      </w:r>
      <w:r>
        <w:rPr>
          <w:rFonts w:ascii="宋体" w:hAnsi="宋体"/>
          <w:color w:val="auto"/>
          <w:highlight w:val="none"/>
        </w:rPr>
        <w:t>；</w:t>
      </w:r>
    </w:p>
    <w:p w14:paraId="05FBE407">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招标人</w:t>
      </w:r>
      <w:r>
        <w:rPr>
          <w:rFonts w:ascii="宋体" w:hAnsi="宋体"/>
          <w:color w:val="auto"/>
          <w:highlight w:val="none"/>
        </w:rPr>
        <w:t>明示或者暗示</w:t>
      </w:r>
      <w:r>
        <w:rPr>
          <w:rFonts w:hint="eastAsia" w:ascii="宋体" w:hAnsi="宋体"/>
          <w:color w:val="auto"/>
          <w:highlight w:val="none"/>
          <w:lang w:eastAsia="zh-CN"/>
        </w:rPr>
        <w:t>投标人</w:t>
      </w:r>
      <w:r>
        <w:rPr>
          <w:rFonts w:ascii="宋体" w:hAnsi="宋体"/>
          <w:color w:val="auto"/>
          <w:highlight w:val="none"/>
        </w:rPr>
        <w:t>为特定</w:t>
      </w:r>
      <w:r>
        <w:rPr>
          <w:rFonts w:hint="eastAsia" w:ascii="宋体" w:hAnsi="宋体"/>
          <w:color w:val="auto"/>
          <w:highlight w:val="none"/>
          <w:lang w:eastAsia="zh-CN"/>
        </w:rPr>
        <w:t>投标人中标</w:t>
      </w:r>
      <w:r>
        <w:rPr>
          <w:rFonts w:ascii="宋体" w:hAnsi="宋体"/>
          <w:color w:val="auto"/>
          <w:highlight w:val="none"/>
        </w:rPr>
        <w:t>提供方便；</w:t>
      </w:r>
    </w:p>
    <w:p w14:paraId="125F9AA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招标人</w:t>
      </w:r>
      <w:r>
        <w:rPr>
          <w:rFonts w:ascii="宋体" w:hAnsi="宋体"/>
          <w:color w:val="auto"/>
          <w:highlight w:val="none"/>
        </w:rPr>
        <w:t>与</w:t>
      </w:r>
      <w:r>
        <w:rPr>
          <w:rFonts w:hint="eastAsia" w:ascii="宋体" w:hAnsi="宋体"/>
          <w:color w:val="auto"/>
          <w:highlight w:val="none"/>
          <w:lang w:eastAsia="zh-CN"/>
        </w:rPr>
        <w:t>投标人</w:t>
      </w:r>
      <w:r>
        <w:rPr>
          <w:rFonts w:ascii="宋体" w:hAnsi="宋体"/>
          <w:color w:val="auto"/>
          <w:highlight w:val="none"/>
        </w:rPr>
        <w:t>为谋求特定</w:t>
      </w:r>
      <w:r>
        <w:rPr>
          <w:rFonts w:hint="eastAsia" w:ascii="宋体" w:hAnsi="宋体"/>
          <w:color w:val="auto"/>
          <w:highlight w:val="none"/>
          <w:lang w:eastAsia="zh-CN"/>
        </w:rPr>
        <w:t>投标人中标</w:t>
      </w:r>
      <w:r>
        <w:rPr>
          <w:rFonts w:ascii="宋体" w:hAnsi="宋体"/>
          <w:color w:val="auto"/>
          <w:highlight w:val="none"/>
        </w:rPr>
        <w:t>而采取的其他串通行为。</w:t>
      </w:r>
    </w:p>
    <w:p w14:paraId="13587988">
      <w:pPr>
        <w:pStyle w:val="5"/>
        <w:adjustRightInd w:val="0"/>
        <w:snapToGrid w:val="0"/>
        <w:spacing w:before="0" w:after="0" w:line="360" w:lineRule="auto"/>
        <w:rPr>
          <w:rFonts w:ascii="宋体" w:hAnsi="宋体"/>
          <w:b w:val="0"/>
          <w:snapToGrid w:val="0"/>
          <w:color w:val="auto"/>
          <w:sz w:val="24"/>
          <w:szCs w:val="24"/>
          <w:highlight w:val="none"/>
        </w:rPr>
      </w:pPr>
      <w:bookmarkStart w:id="477" w:name="_Toc430530483"/>
      <w:bookmarkStart w:id="478" w:name="_Toc277082600"/>
      <w:bookmarkStart w:id="479" w:name="_Toc200513174"/>
      <w:bookmarkStart w:id="480" w:name="_Toc287607794"/>
      <w:bookmarkStart w:id="481" w:name="_Toc224103365"/>
      <w:bookmarkStart w:id="482" w:name="_Toc287620733"/>
      <w:bookmarkStart w:id="483" w:name="_Toc177985710"/>
      <w:bookmarkStart w:id="484" w:name="_Toc509218758"/>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lang w:eastAsia="zh-CN"/>
        </w:rPr>
        <w:t>投标人</w:t>
      </w:r>
      <w:r>
        <w:rPr>
          <w:rFonts w:ascii="宋体" w:hAnsi="宋体"/>
          <w:b w:val="0"/>
          <w:snapToGrid w:val="0"/>
          <w:color w:val="auto"/>
          <w:sz w:val="24"/>
          <w:szCs w:val="24"/>
          <w:highlight w:val="none"/>
        </w:rPr>
        <w:t>的纪律要求</w:t>
      </w:r>
      <w:bookmarkEnd w:id="477"/>
      <w:bookmarkEnd w:id="478"/>
      <w:bookmarkEnd w:id="479"/>
      <w:bookmarkEnd w:id="480"/>
      <w:bookmarkEnd w:id="481"/>
      <w:bookmarkEnd w:id="482"/>
      <w:bookmarkEnd w:id="483"/>
      <w:bookmarkEnd w:id="484"/>
    </w:p>
    <w:p w14:paraId="6C6CE0A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不得相互串通</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或者与</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串通</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，不得向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或者评标委员会成员行贿谋取</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，不得以他人名义</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或者以其他方式弄虚作假骗取</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不得以任何方式干扰、影响评标工作。</w:t>
      </w:r>
    </w:p>
    <w:p w14:paraId="6150A8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9.2.1  </w:t>
      </w:r>
      <w:r>
        <w:rPr>
          <w:rFonts w:ascii="宋体" w:hAnsi="宋体"/>
          <w:color w:val="auto"/>
          <w:highlight w:val="none"/>
        </w:rPr>
        <w:t>有下列情形之一的，属于</w:t>
      </w:r>
      <w:r>
        <w:rPr>
          <w:rFonts w:hint="eastAsia" w:ascii="宋体" w:hAnsi="宋体"/>
          <w:color w:val="auto"/>
          <w:highlight w:val="none"/>
          <w:lang w:eastAsia="zh-CN"/>
        </w:rPr>
        <w:t>投标人</w:t>
      </w:r>
      <w:r>
        <w:rPr>
          <w:rFonts w:ascii="宋体" w:hAnsi="宋体"/>
          <w:color w:val="auto"/>
          <w:highlight w:val="none"/>
        </w:rPr>
        <w:t>相互串通</w:t>
      </w:r>
      <w:r>
        <w:rPr>
          <w:rFonts w:hint="eastAsia" w:ascii="宋体" w:hAnsi="宋体"/>
          <w:color w:val="auto"/>
          <w:highlight w:val="none"/>
          <w:lang w:eastAsia="zh-CN"/>
        </w:rPr>
        <w:t>投标</w:t>
      </w:r>
      <w:r>
        <w:rPr>
          <w:rFonts w:ascii="宋体" w:hAnsi="宋体"/>
          <w:color w:val="auto"/>
          <w:highlight w:val="none"/>
        </w:rPr>
        <w:t>：</w:t>
      </w:r>
    </w:p>
    <w:p w14:paraId="33744E1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投标人</w:t>
      </w:r>
      <w:r>
        <w:rPr>
          <w:rFonts w:ascii="宋体" w:hAnsi="宋体"/>
          <w:color w:val="auto"/>
          <w:highlight w:val="none"/>
        </w:rPr>
        <w:t>之间协商</w:t>
      </w:r>
      <w:r>
        <w:rPr>
          <w:rFonts w:hint="eastAsia" w:ascii="宋体" w:hAnsi="宋体"/>
          <w:color w:val="auto"/>
          <w:highlight w:val="none"/>
          <w:lang w:eastAsia="zh-CN"/>
        </w:rPr>
        <w:t>投标</w:t>
      </w:r>
      <w:r>
        <w:rPr>
          <w:rFonts w:ascii="宋体" w:hAnsi="宋体"/>
          <w:color w:val="auto"/>
          <w:highlight w:val="none"/>
        </w:rPr>
        <w:t>报价等</w:t>
      </w:r>
      <w:r>
        <w:rPr>
          <w:rFonts w:hint="eastAsia" w:ascii="宋体" w:hAnsi="宋体"/>
          <w:color w:val="auto"/>
          <w:highlight w:val="none"/>
          <w:lang w:eastAsia="zh-CN"/>
        </w:rPr>
        <w:t>投标文件</w:t>
      </w:r>
      <w:r>
        <w:rPr>
          <w:rFonts w:ascii="宋体" w:hAnsi="宋体"/>
          <w:color w:val="auto"/>
          <w:highlight w:val="none"/>
        </w:rPr>
        <w:t>的实质性内容；</w:t>
      </w:r>
    </w:p>
    <w:p w14:paraId="7A22360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投标人</w:t>
      </w:r>
      <w:r>
        <w:rPr>
          <w:rFonts w:ascii="宋体" w:hAnsi="宋体"/>
          <w:color w:val="auto"/>
          <w:highlight w:val="none"/>
        </w:rPr>
        <w:t>之间约定</w:t>
      </w:r>
      <w:r>
        <w:rPr>
          <w:rFonts w:hint="eastAsia" w:ascii="宋体" w:hAnsi="宋体"/>
          <w:color w:val="auto"/>
          <w:highlight w:val="none"/>
          <w:lang w:eastAsia="zh-CN"/>
        </w:rPr>
        <w:t>中标</w:t>
      </w:r>
      <w:r>
        <w:rPr>
          <w:rFonts w:ascii="宋体" w:hAnsi="宋体"/>
          <w:color w:val="auto"/>
          <w:highlight w:val="none"/>
        </w:rPr>
        <w:t>人；</w:t>
      </w:r>
    </w:p>
    <w:p w14:paraId="5656F2B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投标人</w:t>
      </w:r>
      <w:r>
        <w:rPr>
          <w:rFonts w:ascii="宋体" w:hAnsi="宋体"/>
          <w:color w:val="auto"/>
          <w:highlight w:val="none"/>
        </w:rPr>
        <w:t>之间约定部分</w:t>
      </w:r>
      <w:r>
        <w:rPr>
          <w:rFonts w:hint="eastAsia" w:ascii="宋体" w:hAnsi="宋体"/>
          <w:color w:val="auto"/>
          <w:highlight w:val="none"/>
          <w:lang w:eastAsia="zh-CN"/>
        </w:rPr>
        <w:t>投标人</w:t>
      </w:r>
      <w:r>
        <w:rPr>
          <w:rFonts w:ascii="宋体" w:hAnsi="宋体"/>
          <w:color w:val="auto"/>
          <w:highlight w:val="none"/>
        </w:rPr>
        <w:t>放弃</w:t>
      </w:r>
      <w:r>
        <w:rPr>
          <w:rFonts w:hint="eastAsia" w:ascii="宋体" w:hAnsi="宋体"/>
          <w:color w:val="auto"/>
          <w:highlight w:val="none"/>
          <w:lang w:eastAsia="zh-CN"/>
        </w:rPr>
        <w:t>投标</w:t>
      </w:r>
      <w:r>
        <w:rPr>
          <w:rFonts w:ascii="宋体" w:hAnsi="宋体"/>
          <w:color w:val="auto"/>
          <w:highlight w:val="none"/>
        </w:rPr>
        <w:t>或者</w:t>
      </w:r>
      <w:r>
        <w:rPr>
          <w:rFonts w:hint="eastAsia" w:ascii="宋体" w:hAnsi="宋体"/>
          <w:color w:val="auto"/>
          <w:highlight w:val="none"/>
          <w:lang w:eastAsia="zh-CN"/>
        </w:rPr>
        <w:t>中标</w:t>
      </w:r>
      <w:r>
        <w:rPr>
          <w:rFonts w:ascii="宋体" w:hAnsi="宋体"/>
          <w:color w:val="auto"/>
          <w:highlight w:val="none"/>
        </w:rPr>
        <w:t>；</w:t>
      </w:r>
    </w:p>
    <w:p w14:paraId="6231EA92">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lang w:eastAsia="zh-CN"/>
        </w:rPr>
        <w:t>投标人</w:t>
      </w:r>
      <w:r>
        <w:rPr>
          <w:rFonts w:ascii="宋体" w:hAnsi="宋体"/>
          <w:color w:val="auto"/>
          <w:highlight w:val="none"/>
        </w:rPr>
        <w:t>按照该组织要求协同</w:t>
      </w:r>
      <w:r>
        <w:rPr>
          <w:rFonts w:hint="eastAsia" w:ascii="宋体" w:hAnsi="宋体"/>
          <w:color w:val="auto"/>
          <w:highlight w:val="none"/>
          <w:lang w:eastAsia="zh-CN"/>
        </w:rPr>
        <w:t>投标</w:t>
      </w:r>
      <w:r>
        <w:rPr>
          <w:rFonts w:ascii="宋体" w:hAnsi="宋体"/>
          <w:color w:val="auto"/>
          <w:highlight w:val="none"/>
        </w:rPr>
        <w:t>；</w:t>
      </w:r>
    </w:p>
    <w:p w14:paraId="1C9C89D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投标人</w:t>
      </w:r>
      <w:r>
        <w:rPr>
          <w:rFonts w:ascii="宋体" w:hAnsi="宋体"/>
          <w:color w:val="auto"/>
          <w:highlight w:val="none"/>
        </w:rPr>
        <w:t>之间为谋取</w:t>
      </w:r>
      <w:r>
        <w:rPr>
          <w:rFonts w:hint="eastAsia" w:ascii="宋体" w:hAnsi="宋体"/>
          <w:color w:val="auto"/>
          <w:highlight w:val="none"/>
          <w:lang w:eastAsia="zh-CN"/>
        </w:rPr>
        <w:t>中标</w:t>
      </w:r>
      <w:r>
        <w:rPr>
          <w:rFonts w:ascii="宋体" w:hAnsi="宋体"/>
          <w:color w:val="auto"/>
          <w:highlight w:val="none"/>
        </w:rPr>
        <w:t>或者排斥特定</w:t>
      </w:r>
      <w:r>
        <w:rPr>
          <w:rFonts w:hint="eastAsia" w:ascii="宋体" w:hAnsi="宋体"/>
          <w:color w:val="auto"/>
          <w:highlight w:val="none"/>
          <w:lang w:eastAsia="zh-CN"/>
        </w:rPr>
        <w:t>投标人</w:t>
      </w:r>
      <w:r>
        <w:rPr>
          <w:rFonts w:ascii="宋体" w:hAnsi="宋体"/>
          <w:color w:val="auto"/>
          <w:highlight w:val="none"/>
        </w:rPr>
        <w:t>而采取的其他联合行动。</w:t>
      </w:r>
    </w:p>
    <w:p w14:paraId="406FB60D">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lang w:eastAsia="zh-CN"/>
        </w:rPr>
        <w:t>投标人</w:t>
      </w:r>
      <w:r>
        <w:rPr>
          <w:rFonts w:ascii="宋体" w:hAnsi="宋体"/>
          <w:color w:val="auto"/>
          <w:highlight w:val="none"/>
        </w:rPr>
        <w:t>相互串通</w:t>
      </w:r>
      <w:r>
        <w:rPr>
          <w:rFonts w:hint="eastAsia" w:ascii="宋体" w:hAnsi="宋体"/>
          <w:color w:val="auto"/>
          <w:highlight w:val="none"/>
          <w:lang w:eastAsia="zh-CN"/>
        </w:rPr>
        <w:t>投标</w:t>
      </w:r>
      <w:r>
        <w:rPr>
          <w:rFonts w:ascii="宋体" w:hAnsi="宋体"/>
          <w:color w:val="auto"/>
          <w:highlight w:val="none"/>
        </w:rPr>
        <w:t>：</w:t>
      </w:r>
    </w:p>
    <w:p w14:paraId="5AFA0070">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由同一单位或者个人编制；</w:t>
      </w:r>
    </w:p>
    <w:p w14:paraId="7668BDA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lang w:eastAsia="zh-CN"/>
        </w:rPr>
        <w:t>投标人</w:t>
      </w:r>
      <w:r>
        <w:rPr>
          <w:rFonts w:ascii="宋体" w:hAnsi="宋体"/>
          <w:color w:val="auto"/>
          <w:highlight w:val="none"/>
        </w:rPr>
        <w:t>委托同一单位或者个人办理</w:t>
      </w:r>
      <w:r>
        <w:rPr>
          <w:rFonts w:hint="eastAsia" w:ascii="宋体" w:hAnsi="宋体"/>
          <w:color w:val="auto"/>
          <w:highlight w:val="none"/>
          <w:lang w:eastAsia="zh-CN"/>
        </w:rPr>
        <w:t>投标</w:t>
      </w:r>
      <w:r>
        <w:rPr>
          <w:rFonts w:ascii="宋体" w:hAnsi="宋体"/>
          <w:color w:val="auto"/>
          <w:highlight w:val="none"/>
        </w:rPr>
        <w:t>事宜；</w:t>
      </w:r>
    </w:p>
    <w:p w14:paraId="45D555E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载明的项目管理成员为同一人；</w:t>
      </w:r>
    </w:p>
    <w:p w14:paraId="4877404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异常一致或者</w:t>
      </w:r>
      <w:r>
        <w:rPr>
          <w:rFonts w:hint="eastAsia" w:ascii="宋体" w:hAnsi="宋体"/>
          <w:color w:val="auto"/>
          <w:highlight w:val="none"/>
          <w:lang w:eastAsia="zh-CN"/>
        </w:rPr>
        <w:t>投标</w:t>
      </w:r>
      <w:r>
        <w:rPr>
          <w:rFonts w:ascii="宋体" w:hAnsi="宋体"/>
          <w:color w:val="auto"/>
          <w:highlight w:val="none"/>
        </w:rPr>
        <w:t>报价呈规律性差异；</w:t>
      </w:r>
    </w:p>
    <w:p w14:paraId="6286761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投标文件</w:t>
      </w:r>
      <w:r>
        <w:rPr>
          <w:rFonts w:ascii="宋体" w:hAnsi="宋体"/>
          <w:color w:val="auto"/>
          <w:highlight w:val="none"/>
        </w:rPr>
        <w:t>相互混装；</w:t>
      </w:r>
    </w:p>
    <w:p w14:paraId="4CF04748">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lang w:eastAsia="zh-CN"/>
        </w:rPr>
        <w:t>投标人</w:t>
      </w:r>
      <w:r>
        <w:rPr>
          <w:rFonts w:ascii="宋体" w:hAnsi="宋体"/>
          <w:color w:val="auto"/>
          <w:highlight w:val="none"/>
        </w:rPr>
        <w:t>的</w:t>
      </w:r>
      <w:r>
        <w:rPr>
          <w:rFonts w:hint="eastAsia" w:ascii="宋体" w:hAnsi="宋体"/>
          <w:color w:val="auto"/>
          <w:highlight w:val="none"/>
          <w:lang w:eastAsia="zh-CN"/>
        </w:rPr>
        <w:t>投标</w:t>
      </w:r>
      <w:r>
        <w:rPr>
          <w:rFonts w:ascii="宋体" w:hAnsi="宋体"/>
          <w:color w:val="auto"/>
          <w:highlight w:val="none"/>
        </w:rPr>
        <w:t>保证金从同一单位或者个人的账户转出</w:t>
      </w:r>
      <w:r>
        <w:rPr>
          <w:rFonts w:hint="eastAsia" w:ascii="宋体" w:hAnsi="宋体"/>
          <w:color w:val="auto"/>
          <w:highlight w:val="none"/>
        </w:rPr>
        <w:t>；</w:t>
      </w:r>
    </w:p>
    <w:p w14:paraId="6AFECFA9">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w:t>
      </w:r>
      <w:r>
        <w:rPr>
          <w:rFonts w:hint="eastAsia" w:ascii="宋体" w:hAnsi="宋体"/>
          <w:color w:val="auto"/>
          <w:highlight w:val="none"/>
          <w:lang w:eastAsia="zh-CN"/>
        </w:rPr>
        <w:t>投标</w:t>
      </w:r>
      <w:r>
        <w:rPr>
          <w:rFonts w:ascii="宋体" w:hAnsi="宋体"/>
          <w:color w:val="auto"/>
          <w:highlight w:val="none"/>
        </w:rPr>
        <w:t>的，属于以他人名义</w:t>
      </w:r>
      <w:r>
        <w:rPr>
          <w:rFonts w:hint="eastAsia" w:ascii="宋体" w:hAnsi="宋体"/>
          <w:color w:val="auto"/>
          <w:highlight w:val="none"/>
          <w:lang w:eastAsia="zh-CN"/>
        </w:rPr>
        <w:t>投标</w:t>
      </w:r>
      <w:r>
        <w:rPr>
          <w:rFonts w:ascii="宋体" w:hAnsi="宋体"/>
          <w:color w:val="auto"/>
          <w:highlight w:val="none"/>
        </w:rPr>
        <w:t>。</w:t>
      </w:r>
    </w:p>
    <w:p w14:paraId="33887F04">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9.2.4  </w:t>
      </w:r>
      <w:r>
        <w:rPr>
          <w:rFonts w:hint="eastAsia" w:ascii="宋体" w:hAnsi="宋体"/>
          <w:color w:val="auto"/>
          <w:highlight w:val="none"/>
          <w:lang w:eastAsia="zh-CN"/>
        </w:rPr>
        <w:t>投标人</w:t>
      </w:r>
      <w:r>
        <w:rPr>
          <w:rFonts w:ascii="宋体" w:hAnsi="宋体"/>
          <w:color w:val="auto"/>
          <w:highlight w:val="none"/>
        </w:rPr>
        <w:t>有下列情形之一的，属于以其他方式弄虚作假的行为：</w:t>
      </w:r>
    </w:p>
    <w:p w14:paraId="574DDCD5">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使用伪造、变造的许可证件；</w:t>
      </w:r>
    </w:p>
    <w:p w14:paraId="20E4ECA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407B2109">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08B0B0E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010C871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1DDAFDDE">
      <w:pPr>
        <w:pStyle w:val="5"/>
        <w:adjustRightInd w:val="0"/>
        <w:snapToGrid w:val="0"/>
        <w:spacing w:before="0" w:after="0" w:line="360" w:lineRule="auto"/>
        <w:rPr>
          <w:rFonts w:ascii="宋体" w:hAnsi="宋体"/>
          <w:b w:val="0"/>
          <w:snapToGrid w:val="0"/>
          <w:color w:val="auto"/>
          <w:sz w:val="24"/>
          <w:szCs w:val="24"/>
          <w:highlight w:val="none"/>
        </w:rPr>
      </w:pPr>
      <w:bookmarkStart w:id="485" w:name="_Toc200513175"/>
      <w:bookmarkStart w:id="486" w:name="_Toc287607795"/>
      <w:bookmarkStart w:id="487" w:name="_Toc177985711"/>
      <w:bookmarkStart w:id="488" w:name="_Toc224103366"/>
      <w:bookmarkStart w:id="489" w:name="_Toc287620734"/>
      <w:bookmarkStart w:id="490" w:name="_Toc277082601"/>
      <w:bookmarkStart w:id="491" w:name="_Toc509218759"/>
      <w:bookmarkStart w:id="492" w:name="_Toc430530484"/>
      <w:r>
        <w:rPr>
          <w:rFonts w:ascii="宋体" w:hAnsi="宋体"/>
          <w:b w:val="0"/>
          <w:snapToGrid w:val="0"/>
          <w:color w:val="auto"/>
          <w:sz w:val="24"/>
          <w:szCs w:val="24"/>
          <w:highlight w:val="none"/>
        </w:rPr>
        <w:t>9.3  对评标委员会成员的纪律要求</w:t>
      </w:r>
      <w:bookmarkEnd w:id="485"/>
      <w:bookmarkEnd w:id="486"/>
      <w:bookmarkEnd w:id="487"/>
      <w:bookmarkEnd w:id="488"/>
      <w:bookmarkEnd w:id="489"/>
      <w:bookmarkEnd w:id="490"/>
      <w:bookmarkEnd w:id="491"/>
      <w:bookmarkEnd w:id="492"/>
    </w:p>
    <w:p w14:paraId="1F9421C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评标委员会成员不得收受他人的财物或者其他好处，不得向他人透露对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的评审和比较、</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文件中《否决情况一览表》以外的内容予以否决，否则对评标委员会成员按《重庆市综合评标专家库和评标专家管理暂行办法》进行处理。</w:t>
      </w:r>
    </w:p>
    <w:p w14:paraId="044CE50B">
      <w:pPr>
        <w:pStyle w:val="5"/>
        <w:adjustRightInd w:val="0"/>
        <w:snapToGrid w:val="0"/>
        <w:spacing w:before="0" w:after="0" w:line="360" w:lineRule="auto"/>
        <w:rPr>
          <w:rFonts w:ascii="宋体" w:hAnsi="宋体"/>
          <w:b w:val="0"/>
          <w:snapToGrid w:val="0"/>
          <w:color w:val="auto"/>
          <w:sz w:val="24"/>
          <w:szCs w:val="24"/>
          <w:highlight w:val="none"/>
        </w:rPr>
      </w:pPr>
      <w:bookmarkStart w:id="493" w:name="_Toc430530485"/>
      <w:bookmarkStart w:id="494" w:name="_Toc277082602"/>
      <w:bookmarkStart w:id="495" w:name="_Toc224103367"/>
      <w:bookmarkStart w:id="496" w:name="_Toc200513176"/>
      <w:bookmarkStart w:id="497" w:name="_Toc509218760"/>
      <w:bookmarkStart w:id="498" w:name="_Toc287607796"/>
      <w:bookmarkStart w:id="499" w:name="_Toc287620735"/>
      <w:bookmarkStart w:id="500" w:name="_Toc177985712"/>
      <w:r>
        <w:rPr>
          <w:rFonts w:ascii="宋体" w:hAnsi="宋体"/>
          <w:b w:val="0"/>
          <w:snapToGrid w:val="0"/>
          <w:color w:val="auto"/>
          <w:sz w:val="24"/>
          <w:szCs w:val="24"/>
          <w:highlight w:val="none"/>
        </w:rPr>
        <w:t>9.4  对与评标活动有关的工作人员的纪律要求</w:t>
      </w:r>
      <w:bookmarkEnd w:id="493"/>
      <w:bookmarkEnd w:id="494"/>
      <w:bookmarkEnd w:id="495"/>
      <w:bookmarkEnd w:id="496"/>
      <w:bookmarkEnd w:id="497"/>
      <w:bookmarkEnd w:id="498"/>
      <w:bookmarkEnd w:id="499"/>
      <w:bookmarkEnd w:id="500"/>
    </w:p>
    <w:p w14:paraId="5E0E6F9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w:t>
      </w:r>
      <w:r>
        <w:rPr>
          <w:rFonts w:hint="eastAsia" w:ascii="宋体" w:hAnsi="宋体"/>
          <w:snapToGrid w:val="0"/>
          <w:color w:val="auto"/>
          <w:kern w:val="0"/>
          <w:szCs w:val="21"/>
          <w:highlight w:val="none"/>
        </w:rPr>
        <w:t>透露</w:t>
      </w:r>
      <w:r>
        <w:rPr>
          <w:rFonts w:ascii="宋体" w:hAnsi="宋体"/>
          <w:snapToGrid w:val="0"/>
          <w:color w:val="auto"/>
          <w:kern w:val="0"/>
          <w:szCs w:val="21"/>
          <w:highlight w:val="none"/>
        </w:rPr>
        <w:t>对</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的评审和比较、</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候选人的推荐情况以及与评标有关的其他情况。在评标活动中，与评标活动有关的工作人员不得擅离职守，影响评标程序正常进行。</w:t>
      </w:r>
    </w:p>
    <w:p w14:paraId="5D61F9AB">
      <w:pPr>
        <w:pStyle w:val="5"/>
        <w:adjustRightInd w:val="0"/>
        <w:snapToGrid w:val="0"/>
        <w:spacing w:before="0" w:after="0" w:line="360" w:lineRule="auto"/>
        <w:rPr>
          <w:rFonts w:ascii="宋体" w:hAnsi="宋体"/>
          <w:b w:val="0"/>
          <w:snapToGrid w:val="0"/>
          <w:color w:val="auto"/>
          <w:sz w:val="24"/>
          <w:szCs w:val="24"/>
          <w:highlight w:val="none"/>
        </w:rPr>
      </w:pPr>
      <w:bookmarkStart w:id="501" w:name="_Toc177985713"/>
      <w:bookmarkStart w:id="502" w:name="_Toc287607797"/>
      <w:bookmarkStart w:id="503" w:name="_Toc224103368"/>
      <w:bookmarkStart w:id="504" w:name="_Toc277082603"/>
      <w:bookmarkStart w:id="505" w:name="_Toc200513177"/>
      <w:bookmarkStart w:id="506" w:name="_Toc430530486"/>
      <w:bookmarkStart w:id="507" w:name="_Toc509218761"/>
      <w:bookmarkStart w:id="508" w:name="_Toc287620736"/>
      <w:r>
        <w:rPr>
          <w:rFonts w:ascii="宋体" w:hAnsi="宋体"/>
          <w:b w:val="0"/>
          <w:snapToGrid w:val="0"/>
          <w:color w:val="auto"/>
          <w:sz w:val="24"/>
          <w:szCs w:val="24"/>
          <w:highlight w:val="none"/>
        </w:rPr>
        <w:t>9.5  投诉</w:t>
      </w:r>
      <w:bookmarkEnd w:id="501"/>
      <w:bookmarkEnd w:id="502"/>
      <w:bookmarkEnd w:id="503"/>
      <w:bookmarkEnd w:id="504"/>
      <w:bookmarkEnd w:id="505"/>
      <w:bookmarkEnd w:id="506"/>
      <w:bookmarkEnd w:id="507"/>
      <w:bookmarkEnd w:id="508"/>
    </w:p>
    <w:p w14:paraId="6A0AEB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或者其他利害关系人认为</w:t>
      </w:r>
      <w:r>
        <w:rPr>
          <w:rFonts w:hint="eastAsia" w:ascii="宋体" w:hAnsi="宋体"/>
          <w:snapToGrid w:val="0"/>
          <w:color w:val="auto"/>
          <w:kern w:val="0"/>
          <w:szCs w:val="21"/>
          <w:highlight w:val="none"/>
          <w:lang w:eastAsia="zh-CN"/>
        </w:rPr>
        <w:t>招标投标</w:t>
      </w:r>
      <w:r>
        <w:rPr>
          <w:rFonts w:ascii="宋体" w:hAnsi="宋体"/>
          <w:snapToGrid w:val="0"/>
          <w:color w:val="auto"/>
          <w:kern w:val="0"/>
          <w:szCs w:val="21"/>
          <w:highlight w:val="none"/>
        </w:rPr>
        <w:t>活动不符合法律、行政法规规定的，可以自知道或者应当知道之日起 10 日内向有关行政监督部门投诉。投诉应当有明确的请求和必要的证明材料。</w:t>
      </w:r>
    </w:p>
    <w:p w14:paraId="2F3AA4F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9</w:t>
      </w:r>
      <w:r>
        <w:rPr>
          <w:rFonts w:ascii="宋体" w:hAnsi="宋体"/>
          <w:snapToGrid w:val="0"/>
          <w:color w:val="auto"/>
          <w:kern w:val="0"/>
          <w:szCs w:val="21"/>
          <w:highlight w:val="none"/>
        </w:rPr>
        <w:t xml:space="preserve">.5.2  </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或者其他利害关系人对</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文件、开标和评标结果提出投诉的，应当按照</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须知第 2.4 款、第 5.3 款和第 7.2 款的规定先向</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提出异议。异议答复期间不计算在第 8.5.1 项规定的期限内。</w:t>
      </w:r>
    </w:p>
    <w:p w14:paraId="035E1769">
      <w:pPr>
        <w:pStyle w:val="4"/>
        <w:adjustRightInd w:val="0"/>
        <w:snapToGrid w:val="0"/>
        <w:spacing w:before="0" w:after="0" w:line="360" w:lineRule="auto"/>
        <w:rPr>
          <w:rFonts w:ascii="宋体" w:hAnsi="宋体"/>
          <w:b w:val="0"/>
          <w:snapToGrid w:val="0"/>
          <w:color w:val="auto"/>
          <w:highlight w:val="none"/>
        </w:rPr>
      </w:pPr>
      <w:bookmarkStart w:id="509" w:name="_Toc200513178"/>
      <w:bookmarkStart w:id="510" w:name="_Toc430530487"/>
      <w:bookmarkStart w:id="511" w:name="_Toc177985714"/>
      <w:bookmarkStart w:id="512" w:name="_Toc277082604"/>
      <w:bookmarkStart w:id="513" w:name="_Toc287620737"/>
      <w:bookmarkStart w:id="514" w:name="_Toc509218762"/>
      <w:bookmarkStart w:id="515" w:name="_Toc287607798"/>
      <w:bookmarkStart w:id="516" w:name="_Toc224103369"/>
      <w:r>
        <w:rPr>
          <w:rFonts w:ascii="宋体" w:hAnsi="宋体"/>
          <w:b w:val="0"/>
          <w:snapToGrid w:val="0"/>
          <w:color w:val="auto"/>
          <w:highlight w:val="none"/>
        </w:rPr>
        <w:t>10. 需要补充的其他内容</w:t>
      </w:r>
      <w:bookmarkEnd w:id="509"/>
      <w:bookmarkEnd w:id="510"/>
      <w:bookmarkEnd w:id="511"/>
      <w:bookmarkEnd w:id="512"/>
      <w:bookmarkEnd w:id="513"/>
      <w:bookmarkEnd w:id="514"/>
      <w:bookmarkEnd w:id="515"/>
      <w:bookmarkEnd w:id="516"/>
    </w:p>
    <w:p w14:paraId="7C45E40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lang w:eastAsia="zh-CN"/>
        </w:rPr>
        <w:t>投标人</w:t>
      </w:r>
      <w:r>
        <w:rPr>
          <w:rFonts w:ascii="宋体" w:hAnsi="宋体"/>
          <w:snapToGrid w:val="0"/>
          <w:color w:val="auto"/>
          <w:kern w:val="0"/>
          <w:szCs w:val="21"/>
          <w:highlight w:val="none"/>
        </w:rPr>
        <w:t>须知前附表。</w:t>
      </w:r>
    </w:p>
    <w:bookmarkEnd w:id="82"/>
    <w:bookmarkEnd w:id="83"/>
    <w:bookmarkEnd w:id="84"/>
    <w:bookmarkEnd w:id="85"/>
    <w:bookmarkEnd w:id="86"/>
    <w:bookmarkEnd w:id="87"/>
    <w:bookmarkEnd w:id="88"/>
    <w:p w14:paraId="47E8CF56">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4" w:type="default"/>
          <w:pgSz w:w="11906" w:h="16838"/>
          <w:pgMar w:top="1304" w:right="1304" w:bottom="1304" w:left="1304" w:header="851" w:footer="992" w:gutter="0"/>
          <w:pgNumType w:start="1"/>
          <w:cols w:space="720" w:num="1"/>
          <w:docGrid w:linePitch="312" w:charSpace="0"/>
        </w:sectPr>
      </w:pPr>
    </w:p>
    <w:p w14:paraId="0B127728">
      <w:pPr>
        <w:pStyle w:val="3"/>
        <w:adjustRightInd w:val="0"/>
        <w:snapToGrid w:val="0"/>
        <w:spacing w:before="0" w:after="0" w:line="360" w:lineRule="auto"/>
        <w:ind w:firstLine="883" w:firstLineChars="200"/>
        <w:jc w:val="center"/>
        <w:rPr>
          <w:rFonts w:ascii="宋体" w:hAnsi="宋体"/>
          <w:color w:val="auto"/>
          <w:highlight w:val="none"/>
        </w:rPr>
      </w:pPr>
      <w:bookmarkStart w:id="517" w:name="招标文件03章02评标办法综合评估法"/>
      <w:bookmarkEnd w:id="517"/>
      <w:bookmarkStart w:id="518" w:name="招标文件03章02评标办法综合评估法00"/>
      <w:bookmarkEnd w:id="518"/>
      <w:bookmarkStart w:id="519" w:name="_Toc509218774"/>
      <w:bookmarkStart w:id="520" w:name="_Toc177985715"/>
      <w:bookmarkStart w:id="521" w:name="_Toc430530500"/>
      <w:bookmarkStart w:id="522" w:name="_Toc277082618"/>
      <w:bookmarkStart w:id="523" w:name="_Toc224103384"/>
      <w:bookmarkStart w:id="524" w:name="_Toc287620751"/>
      <w:bookmarkStart w:id="525" w:name="_Toc287607812"/>
      <w:bookmarkStart w:id="526" w:name="_Toc200513198"/>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w:t>
      </w:r>
      <w:bookmarkEnd w:id="519"/>
      <w:bookmarkStart w:id="527" w:name="_Toc277082617"/>
      <w:bookmarkStart w:id="528" w:name="_Toc224103383"/>
      <w:bookmarkStart w:id="529" w:name="_Toc287620750"/>
      <w:bookmarkStart w:id="530" w:name="_Toc287607811"/>
      <w:bookmarkStart w:id="531" w:name="_Toc430530499"/>
      <w:r>
        <w:rPr>
          <w:rFonts w:hint="eastAsia" w:ascii="宋体" w:hAnsi="宋体"/>
          <w:color w:val="auto"/>
          <w:highlight w:val="none"/>
        </w:rPr>
        <w:t>（综合评估法）</w:t>
      </w:r>
      <w:bookmarkEnd w:id="520"/>
    </w:p>
    <w:p w14:paraId="7D8D1DC2">
      <w:pPr>
        <w:pStyle w:val="4"/>
        <w:adjustRightInd w:val="0"/>
        <w:snapToGrid w:val="0"/>
        <w:spacing w:before="0" w:after="0" w:line="360" w:lineRule="auto"/>
        <w:jc w:val="center"/>
        <w:rPr>
          <w:rFonts w:ascii="宋体" w:hAnsi="宋体"/>
          <w:color w:val="auto"/>
          <w:highlight w:val="none"/>
        </w:rPr>
      </w:pPr>
      <w:bookmarkStart w:id="532" w:name="_Toc509218775"/>
      <w:bookmarkStart w:id="533" w:name="_Toc177985716"/>
      <w:r>
        <w:rPr>
          <w:rFonts w:hint="eastAsia" w:ascii="宋体" w:hAnsi="宋体"/>
          <w:color w:val="auto"/>
          <w:highlight w:val="none"/>
        </w:rPr>
        <w:t>评标办法前附表</w:t>
      </w:r>
      <w:bookmarkEnd w:id="532"/>
      <w:bookmarkEnd w:id="533"/>
    </w:p>
    <w:p w14:paraId="077322B2">
      <w:pPr>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评标办法中的评审内容必须和</w:t>
      </w:r>
      <w:r>
        <w:rPr>
          <w:rFonts w:hint="eastAsia" w:ascii="宋体" w:hAnsi="宋体"/>
          <w:color w:val="auto"/>
          <w:szCs w:val="21"/>
          <w:highlight w:val="none"/>
          <w:lang w:eastAsia="zh-CN"/>
        </w:rPr>
        <w:t>投标人</w:t>
      </w:r>
      <w:r>
        <w:rPr>
          <w:rFonts w:ascii="宋体" w:hAnsi="宋体"/>
          <w:color w:val="auto"/>
          <w:szCs w:val="21"/>
          <w:highlight w:val="none"/>
        </w:rPr>
        <w:t>须知中的对应内容一致，若</w:t>
      </w:r>
      <w:r>
        <w:rPr>
          <w:rFonts w:hint="eastAsia" w:ascii="宋体" w:hAnsi="宋体"/>
          <w:color w:val="auto"/>
          <w:szCs w:val="21"/>
          <w:highlight w:val="none"/>
          <w:lang w:eastAsia="zh-CN"/>
        </w:rPr>
        <w:t>投标人</w:t>
      </w:r>
      <w:r>
        <w:rPr>
          <w:rFonts w:ascii="宋体" w:hAnsi="宋体"/>
          <w:color w:val="auto"/>
          <w:szCs w:val="21"/>
          <w:highlight w:val="none"/>
        </w:rPr>
        <w:t>须知中未作要求的内容，不得列入评标办法作为评定依据。</w:t>
      </w:r>
    </w:p>
    <w:bookmarkEnd w:id="521"/>
    <w:bookmarkEnd w:id="522"/>
    <w:bookmarkEnd w:id="523"/>
    <w:bookmarkEnd w:id="524"/>
    <w:bookmarkEnd w:id="525"/>
    <w:bookmarkEnd w:id="526"/>
    <w:bookmarkEnd w:id="527"/>
    <w:bookmarkEnd w:id="528"/>
    <w:bookmarkEnd w:id="529"/>
    <w:bookmarkEnd w:id="530"/>
    <w:bookmarkEnd w:id="531"/>
    <w:tbl>
      <w:tblPr>
        <w:tblStyle w:val="46"/>
        <w:tblW w:w="10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2"/>
        <w:gridCol w:w="1292"/>
        <w:gridCol w:w="146"/>
        <w:gridCol w:w="1551"/>
        <w:gridCol w:w="1079"/>
        <w:gridCol w:w="4946"/>
      </w:tblGrid>
      <w:tr w14:paraId="14DF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002" w:type="dxa"/>
            <w:tcBorders>
              <w:right w:val="single" w:color="auto" w:sz="4" w:space="0"/>
            </w:tcBorders>
            <w:noWrap w:val="0"/>
            <w:vAlign w:val="center"/>
          </w:tcPr>
          <w:p w14:paraId="23701F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r>
              <w:rPr>
                <w:rFonts w:hint="eastAsia" w:ascii="宋体" w:hAnsi="宋体" w:cs="Times New Roman"/>
                <w:b/>
                <w:color w:val="auto"/>
                <w:kern w:val="0"/>
                <w:highlight w:val="none"/>
              </w:rPr>
              <w:t>条款号</w:t>
            </w:r>
          </w:p>
        </w:tc>
        <w:tc>
          <w:tcPr>
            <w:tcW w:w="1438" w:type="dxa"/>
            <w:gridSpan w:val="2"/>
            <w:tcBorders>
              <w:left w:val="single" w:color="auto" w:sz="4" w:space="0"/>
            </w:tcBorders>
            <w:noWrap w:val="0"/>
            <w:vAlign w:val="center"/>
          </w:tcPr>
          <w:p w14:paraId="3F6D621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r>
              <w:rPr>
                <w:rFonts w:hint="eastAsia" w:ascii="宋体" w:hAnsi="宋体" w:cs="Times New Roman"/>
                <w:b/>
                <w:color w:val="auto"/>
                <w:kern w:val="0"/>
                <w:highlight w:val="none"/>
              </w:rPr>
              <w:t>评审因素</w:t>
            </w:r>
          </w:p>
        </w:tc>
        <w:tc>
          <w:tcPr>
            <w:tcW w:w="7576" w:type="dxa"/>
            <w:gridSpan w:val="3"/>
            <w:noWrap w:val="0"/>
            <w:vAlign w:val="center"/>
          </w:tcPr>
          <w:p w14:paraId="069631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r>
              <w:rPr>
                <w:rFonts w:hint="eastAsia" w:ascii="宋体" w:hAnsi="宋体" w:cs="Times New Roman"/>
                <w:b/>
                <w:color w:val="auto"/>
                <w:kern w:val="0"/>
                <w:highlight w:val="none"/>
              </w:rPr>
              <w:t>评审标准</w:t>
            </w:r>
          </w:p>
        </w:tc>
      </w:tr>
      <w:tr w14:paraId="6DBAB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1002" w:type="dxa"/>
            <w:tcBorders>
              <w:right w:val="single" w:color="auto" w:sz="4" w:space="0"/>
            </w:tcBorders>
            <w:noWrap w:val="0"/>
            <w:vAlign w:val="center"/>
          </w:tcPr>
          <w:p w14:paraId="2F7E8292">
            <w:pPr>
              <w:pStyle w:val="274"/>
              <w:keepNext w:val="0"/>
              <w:keepLines w:val="0"/>
              <w:suppressLineNumbers w:val="0"/>
              <w:adjustRightInd w:val="0"/>
              <w:snapToGrid w:val="0"/>
              <w:spacing w:before="0" w:beforeAutospacing="0" w:after="0" w:afterAutospacing="0"/>
              <w:ind w:left="0" w:right="0" w:firstLine="420"/>
              <w:jc w:val="left"/>
              <w:rPr>
                <w:rFonts w:hint="eastAsia" w:hAnsi="宋体" w:cs="Times New Roman"/>
                <w:color w:val="auto"/>
                <w:sz w:val="21"/>
                <w:szCs w:val="21"/>
                <w:highlight w:val="none"/>
              </w:rPr>
            </w:pPr>
            <w:r>
              <w:rPr>
                <w:rFonts w:hint="eastAsia" w:hAnsi="宋体" w:cs="Times New Roman"/>
                <w:color w:val="auto"/>
                <w:sz w:val="21"/>
                <w:szCs w:val="21"/>
                <w:highlight w:val="none"/>
              </w:rPr>
              <w:t>1</w:t>
            </w:r>
          </w:p>
        </w:tc>
        <w:tc>
          <w:tcPr>
            <w:tcW w:w="1438" w:type="dxa"/>
            <w:gridSpan w:val="2"/>
            <w:tcBorders>
              <w:left w:val="single" w:color="auto" w:sz="4" w:space="0"/>
            </w:tcBorders>
            <w:noWrap w:val="0"/>
            <w:vAlign w:val="center"/>
          </w:tcPr>
          <w:p w14:paraId="0084298E">
            <w:pPr>
              <w:pStyle w:val="274"/>
              <w:keepNext w:val="0"/>
              <w:keepLines w:val="0"/>
              <w:suppressLineNumbers w:val="0"/>
              <w:adjustRightInd w:val="0"/>
              <w:snapToGrid w:val="0"/>
              <w:spacing w:before="0" w:beforeAutospacing="0" w:after="0" w:afterAutospacing="0"/>
              <w:ind w:left="0" w:right="0" w:firstLine="0" w:firstLineChars="0"/>
              <w:jc w:val="center"/>
              <w:rPr>
                <w:rFonts w:hint="eastAsia" w:hAnsi="宋体" w:cs="Times New Roman"/>
                <w:color w:val="auto"/>
                <w:sz w:val="21"/>
                <w:szCs w:val="21"/>
                <w:highlight w:val="none"/>
              </w:rPr>
            </w:pPr>
            <w:r>
              <w:rPr>
                <w:rFonts w:hint="eastAsia" w:hAnsi="宋体" w:cs="Times New Roman"/>
                <w:color w:val="auto"/>
                <w:sz w:val="21"/>
                <w:szCs w:val="21"/>
                <w:highlight w:val="none"/>
              </w:rPr>
              <w:t>评标办法</w:t>
            </w:r>
          </w:p>
        </w:tc>
        <w:tc>
          <w:tcPr>
            <w:tcW w:w="7576" w:type="dxa"/>
            <w:gridSpan w:val="3"/>
            <w:noWrap w:val="0"/>
            <w:vAlign w:val="center"/>
          </w:tcPr>
          <w:p w14:paraId="360B5A19">
            <w:pPr>
              <w:keepNext w:val="0"/>
              <w:keepLines w:val="0"/>
              <w:suppressLineNumbers w:val="0"/>
              <w:adjustRightInd w:val="0"/>
              <w:snapToGrid w:val="0"/>
              <w:spacing w:before="0" w:beforeAutospacing="0" w:after="0" w:afterAutospacing="0" w:line="360" w:lineRule="auto"/>
              <w:ind w:left="0" w:right="0" w:firstLine="427" w:firstLineChars="196"/>
              <w:rPr>
                <w:rFonts w:hint="eastAsia" w:ascii="宋体" w:hAnsi="宋体" w:cs="Times New Roman"/>
                <w:color w:val="auto"/>
                <w:spacing w:val="4"/>
                <w:kern w:val="0"/>
                <w:szCs w:val="21"/>
                <w:highlight w:val="none"/>
              </w:rPr>
            </w:pPr>
            <w:r>
              <w:rPr>
                <w:rFonts w:hint="eastAsia" w:ascii="宋体" w:hAnsi="宋体" w:cs="Times New Roman"/>
                <w:color w:val="auto"/>
                <w:spacing w:val="4"/>
                <w:kern w:val="0"/>
                <w:szCs w:val="21"/>
                <w:highlight w:val="none"/>
              </w:rPr>
              <w:t>本次评标采用综合评估法。</w:t>
            </w:r>
          </w:p>
          <w:p w14:paraId="6C754C24">
            <w:pPr>
              <w:keepNext w:val="0"/>
              <w:keepLines w:val="0"/>
              <w:suppressLineNumbers w:val="0"/>
              <w:adjustRightInd w:val="0"/>
              <w:snapToGrid w:val="0"/>
              <w:spacing w:before="0" w:beforeAutospacing="0" w:after="0" w:afterAutospacing="0" w:line="360" w:lineRule="auto"/>
              <w:ind w:left="0" w:right="0" w:firstLine="427" w:firstLineChars="196"/>
              <w:rPr>
                <w:rFonts w:hint="eastAsia" w:ascii="宋体" w:hAnsi="宋体" w:cs="Times New Roman"/>
                <w:color w:val="auto"/>
                <w:spacing w:val="4"/>
                <w:kern w:val="0"/>
                <w:szCs w:val="21"/>
                <w:highlight w:val="none"/>
              </w:rPr>
            </w:pPr>
            <w:r>
              <w:rPr>
                <w:rFonts w:hint="eastAsia" w:ascii="宋体" w:hAnsi="宋体" w:cs="Times New Roman"/>
                <w:color w:val="auto"/>
                <w:spacing w:val="4"/>
                <w:kern w:val="0"/>
                <w:szCs w:val="21"/>
                <w:highlight w:val="none"/>
              </w:rPr>
              <w:t>评标委员会对满足招标文件实质性要求的投标文件，按照规定的评分标准进行打分，并按得分由高到低顺序推荐中标候选人。综合评分相等时，以投标报价低的优先；投标报价也相等的，以技术得分高的优先；技术得分相等的，以商务得分高的优先；商务得分相等的，以投标产品生产企业配套情况得分最高的优先；生产企业配套情况得分相等的，由评委会投票决定。</w:t>
            </w:r>
          </w:p>
        </w:tc>
      </w:tr>
      <w:tr w14:paraId="226AB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1002" w:type="dxa"/>
            <w:tcBorders>
              <w:right w:val="single" w:color="auto" w:sz="4" w:space="0"/>
            </w:tcBorders>
            <w:noWrap w:val="0"/>
            <w:vAlign w:val="center"/>
          </w:tcPr>
          <w:p w14:paraId="21B16FF5">
            <w:pPr>
              <w:pStyle w:val="274"/>
              <w:keepNext w:val="0"/>
              <w:keepLines w:val="0"/>
              <w:suppressLineNumbers w:val="0"/>
              <w:adjustRightInd w:val="0"/>
              <w:snapToGrid w:val="0"/>
              <w:spacing w:before="0" w:beforeAutospacing="0" w:after="0" w:afterAutospacing="0"/>
              <w:ind w:left="0" w:leftChars="0" w:right="0" w:firstLine="0" w:firstLineChars="0"/>
              <w:jc w:val="center"/>
              <w:rPr>
                <w:rFonts w:hint="default" w:hAnsi="宋体" w:eastAsia="宋体" w:cs="Times New Roman"/>
                <w:color w:val="auto"/>
                <w:sz w:val="21"/>
                <w:szCs w:val="21"/>
                <w:highlight w:val="none"/>
                <w:lang w:val="en-US" w:eastAsia="zh-CN"/>
              </w:rPr>
            </w:pPr>
            <w:r>
              <w:rPr>
                <w:rFonts w:hint="eastAsia" w:hAnsi="宋体" w:cs="Times New Roman"/>
                <w:color w:val="auto"/>
                <w:sz w:val="21"/>
                <w:szCs w:val="21"/>
                <w:highlight w:val="none"/>
                <w:lang w:val="en-US" w:eastAsia="zh-CN"/>
              </w:rPr>
              <w:t>2.1</w:t>
            </w:r>
          </w:p>
        </w:tc>
        <w:tc>
          <w:tcPr>
            <w:tcW w:w="1438" w:type="dxa"/>
            <w:gridSpan w:val="2"/>
            <w:tcBorders>
              <w:left w:val="single" w:color="auto" w:sz="4" w:space="0"/>
            </w:tcBorders>
            <w:noWrap w:val="0"/>
            <w:vAlign w:val="center"/>
          </w:tcPr>
          <w:p w14:paraId="5BAA1698">
            <w:pPr>
              <w:pStyle w:val="274"/>
              <w:keepNext w:val="0"/>
              <w:keepLines w:val="0"/>
              <w:suppressLineNumbers w:val="0"/>
              <w:adjustRightInd w:val="0"/>
              <w:snapToGrid w:val="0"/>
              <w:spacing w:before="0" w:beforeAutospacing="0" w:after="0" w:afterAutospacing="0"/>
              <w:ind w:left="0" w:right="0" w:firstLine="0" w:firstLineChars="0"/>
              <w:jc w:val="center"/>
              <w:rPr>
                <w:rFonts w:hint="default" w:hAnsi="宋体" w:eastAsia="宋体" w:cs="Times New Roman"/>
                <w:color w:val="auto"/>
                <w:sz w:val="21"/>
                <w:szCs w:val="21"/>
                <w:highlight w:val="none"/>
                <w:lang w:val="en-US" w:eastAsia="zh-CN"/>
              </w:rPr>
            </w:pPr>
            <w:r>
              <w:rPr>
                <w:rFonts w:hint="default" w:hAnsi="宋体" w:eastAsia="宋体" w:cs="Times New Roman"/>
                <w:color w:val="auto"/>
                <w:sz w:val="21"/>
                <w:szCs w:val="21"/>
                <w:highlight w:val="none"/>
                <w:lang w:val="en-US" w:eastAsia="zh-CN"/>
              </w:rPr>
              <w:t>中标候选人排</w:t>
            </w:r>
            <w:r>
              <w:rPr>
                <w:rFonts w:hint="eastAsia" w:hAnsi="宋体" w:cs="Times New Roman"/>
                <w:color w:val="auto"/>
                <w:sz w:val="21"/>
                <w:szCs w:val="21"/>
                <w:highlight w:val="none"/>
                <w:lang w:val="en-US" w:eastAsia="zh-CN"/>
              </w:rPr>
              <w:t>序</w:t>
            </w:r>
          </w:p>
        </w:tc>
        <w:tc>
          <w:tcPr>
            <w:tcW w:w="7576" w:type="dxa"/>
            <w:gridSpan w:val="3"/>
            <w:noWrap w:val="0"/>
            <w:vAlign w:val="center"/>
          </w:tcPr>
          <w:p w14:paraId="69C1AAE8">
            <w:pPr>
              <w:keepNext w:val="0"/>
              <w:keepLines w:val="0"/>
              <w:suppressLineNumbers w:val="0"/>
              <w:adjustRightInd w:val="0"/>
              <w:snapToGrid w:val="0"/>
              <w:spacing w:before="0" w:beforeAutospacing="0" w:after="0" w:afterAutospacing="0" w:line="360" w:lineRule="auto"/>
              <w:ind w:left="0" w:right="0" w:firstLine="427" w:firstLineChars="196"/>
              <w:rPr>
                <w:rFonts w:hint="eastAsia" w:ascii="宋体" w:hAnsi="宋体" w:eastAsia="宋体" w:cs="Times New Roman"/>
                <w:color w:val="auto"/>
                <w:spacing w:val="4"/>
                <w:kern w:val="0"/>
                <w:szCs w:val="21"/>
                <w:highlight w:val="none"/>
                <w:lang w:eastAsia="zh-CN"/>
              </w:rPr>
            </w:pPr>
            <w:r>
              <w:rPr>
                <w:rFonts w:hint="eastAsia" w:ascii="宋体" w:hAnsi="宋体" w:cs="Times New Roman"/>
                <w:color w:val="auto"/>
                <w:spacing w:val="4"/>
                <w:kern w:val="0"/>
                <w:szCs w:val="21"/>
                <w:highlight w:val="none"/>
              </w:rPr>
              <w:t>按照本章第 2.2 款规定的评分标准进行打分，按得分由高到低顺序推荐中标候选人</w:t>
            </w:r>
            <w:r>
              <w:rPr>
                <w:rFonts w:hint="eastAsia" w:ascii="宋体" w:hAnsi="宋体" w:cs="Times New Roman"/>
                <w:color w:val="auto"/>
                <w:spacing w:val="4"/>
                <w:kern w:val="0"/>
                <w:szCs w:val="21"/>
                <w:highlight w:val="none"/>
                <w:lang w:eastAsia="zh-CN"/>
              </w:rPr>
              <w:t>。</w:t>
            </w:r>
          </w:p>
        </w:tc>
      </w:tr>
      <w:tr w14:paraId="30DA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restart"/>
            <w:tcBorders>
              <w:right w:val="single" w:color="auto" w:sz="4" w:space="0"/>
            </w:tcBorders>
            <w:noWrap w:val="0"/>
            <w:vAlign w:val="center"/>
          </w:tcPr>
          <w:p w14:paraId="1AADDCD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p>
        </w:tc>
        <w:tc>
          <w:tcPr>
            <w:tcW w:w="1438" w:type="dxa"/>
            <w:gridSpan w:val="2"/>
            <w:vMerge w:val="restart"/>
            <w:tcBorders>
              <w:left w:val="single" w:color="auto" w:sz="4" w:space="0"/>
              <w:right w:val="single" w:color="auto" w:sz="4" w:space="0"/>
            </w:tcBorders>
            <w:noWrap w:val="0"/>
            <w:vAlign w:val="center"/>
          </w:tcPr>
          <w:p w14:paraId="42DD36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rPr>
              <w:t>形式评审标准</w:t>
            </w:r>
          </w:p>
        </w:tc>
        <w:tc>
          <w:tcPr>
            <w:tcW w:w="2630" w:type="dxa"/>
            <w:gridSpan w:val="2"/>
            <w:tcBorders>
              <w:top w:val="single" w:color="auto" w:sz="4" w:space="0"/>
              <w:left w:val="single" w:color="auto" w:sz="4" w:space="0"/>
              <w:right w:val="single" w:color="auto" w:sz="4" w:space="0"/>
            </w:tcBorders>
            <w:noWrap w:val="0"/>
            <w:vAlign w:val="center"/>
          </w:tcPr>
          <w:p w14:paraId="7258C3F0">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投标人</w:t>
            </w:r>
            <w:r>
              <w:rPr>
                <w:rFonts w:hint="eastAsia" w:ascii="宋体" w:hAnsi="宋体" w:cs="宋体"/>
                <w:color w:val="auto"/>
                <w:kern w:val="0"/>
                <w:highlight w:val="none"/>
              </w:rPr>
              <w:t>名称</w:t>
            </w:r>
          </w:p>
        </w:tc>
        <w:tc>
          <w:tcPr>
            <w:tcW w:w="4946" w:type="dxa"/>
            <w:tcBorders>
              <w:top w:val="single" w:color="auto" w:sz="4" w:space="0"/>
              <w:left w:val="single" w:color="auto" w:sz="4" w:space="0"/>
            </w:tcBorders>
            <w:noWrap w:val="0"/>
            <w:vAlign w:val="center"/>
          </w:tcPr>
          <w:p w14:paraId="7464603C">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与营业执照一致，依法变更名称的应提交相应证明材料。</w:t>
            </w:r>
          </w:p>
        </w:tc>
      </w:tr>
      <w:tr w14:paraId="0D1C1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45135D7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1381729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1D62F53B">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函签名盖章</w:t>
            </w:r>
          </w:p>
        </w:tc>
        <w:tc>
          <w:tcPr>
            <w:tcW w:w="4946" w:type="dxa"/>
            <w:tcBorders>
              <w:top w:val="single" w:color="auto" w:sz="4" w:space="0"/>
              <w:left w:val="single" w:color="auto" w:sz="4" w:space="0"/>
            </w:tcBorders>
            <w:noWrap w:val="0"/>
            <w:vAlign w:val="center"/>
          </w:tcPr>
          <w:p w14:paraId="62A1DF91">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函格式规定签名、盖章的位置有法定代表人或其委托代理人签名（或盖章）、加盖单位公章。</w:t>
            </w:r>
          </w:p>
        </w:tc>
      </w:tr>
      <w:tr w14:paraId="32959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07DD56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3D606FE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10683931">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格式</w:t>
            </w:r>
          </w:p>
        </w:tc>
        <w:tc>
          <w:tcPr>
            <w:tcW w:w="4946" w:type="dxa"/>
            <w:tcBorders>
              <w:top w:val="single" w:color="auto" w:sz="4" w:space="0"/>
              <w:left w:val="single" w:color="auto" w:sz="4" w:space="0"/>
            </w:tcBorders>
            <w:noWrap w:val="0"/>
            <w:vAlign w:val="center"/>
          </w:tcPr>
          <w:p w14:paraId="2AC4B5F6">
            <w:pPr>
              <w:keepNext w:val="0"/>
              <w:keepLines w:val="0"/>
              <w:suppressLineNumbers w:val="0"/>
              <w:adjustRightInd w:val="0"/>
              <w:snapToGrid w:val="0"/>
              <w:spacing w:before="0" w:beforeAutospacing="0" w:after="0" w:afterAutospacing="0" w:line="360" w:lineRule="auto"/>
              <w:ind w:left="0" w:leftChars="0" w:right="0" w:rightChars="0" w:firstLine="380" w:firstLineChars="181"/>
              <w:rPr>
                <w:rFonts w:hint="eastAsia" w:ascii="宋体" w:hAnsi="宋体" w:cs="宋体"/>
                <w:color w:val="auto"/>
                <w:kern w:val="0"/>
                <w:highlight w:val="none"/>
                <w:u w:val="singl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须知”第3.7款的要求。</w:t>
            </w:r>
          </w:p>
        </w:tc>
      </w:tr>
      <w:tr w14:paraId="260E1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523AC1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1AE8C7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3A60626F">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份数</w:t>
            </w:r>
          </w:p>
        </w:tc>
        <w:tc>
          <w:tcPr>
            <w:tcW w:w="4946" w:type="dxa"/>
            <w:tcBorders>
              <w:top w:val="single" w:color="auto" w:sz="4" w:space="0"/>
              <w:left w:val="single" w:color="auto" w:sz="4" w:space="0"/>
            </w:tcBorders>
            <w:noWrap w:val="0"/>
            <w:vAlign w:val="center"/>
          </w:tcPr>
          <w:p w14:paraId="222D14AB">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须知”第3.7.4项规定。</w:t>
            </w:r>
          </w:p>
        </w:tc>
      </w:tr>
      <w:tr w14:paraId="0441D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0F6C25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5E3C573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7961D604">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Times New Roman"/>
                <w:color w:val="auto"/>
                <w:highlight w:val="none"/>
              </w:rPr>
            </w:pP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的签署</w:t>
            </w:r>
          </w:p>
        </w:tc>
        <w:tc>
          <w:tcPr>
            <w:tcW w:w="4946" w:type="dxa"/>
            <w:tcBorders>
              <w:top w:val="single" w:color="auto" w:sz="4" w:space="0"/>
              <w:left w:val="single" w:color="auto" w:sz="4" w:space="0"/>
            </w:tcBorders>
            <w:noWrap w:val="0"/>
            <w:vAlign w:val="center"/>
          </w:tcPr>
          <w:p w14:paraId="4610C683">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 xml:space="preserve">第六章 </w:t>
            </w:r>
            <w:r>
              <w:rPr>
                <w:rFonts w:hint="eastAsia" w:ascii="宋体" w:hAnsi="宋体" w:cs="宋体"/>
                <w:color w:val="auto"/>
                <w:kern w:val="0"/>
                <w:highlight w:val="none"/>
                <w:lang w:eastAsia="zh-CN"/>
              </w:rPr>
              <w:t>投标文件</w:t>
            </w:r>
            <w:r>
              <w:rPr>
                <w:rFonts w:hint="eastAsia" w:ascii="宋体" w:hAnsi="宋体" w:cs="宋体"/>
                <w:color w:val="auto"/>
                <w:kern w:val="0"/>
                <w:highlight w:val="none"/>
              </w:rPr>
              <w:t>格式要求法定代表人或其委托代理人签名（或盖章）的须齐全。</w:t>
            </w:r>
          </w:p>
        </w:tc>
      </w:tr>
      <w:tr w14:paraId="1B4B3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1A2E17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6A26C91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0889F342">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szCs w:val="21"/>
                <w:highlight w:val="none"/>
              </w:rPr>
            </w:pPr>
            <w:r>
              <w:rPr>
                <w:rFonts w:hint="eastAsia" w:ascii="宋体" w:hAnsi="宋体" w:cs="宋体"/>
                <w:color w:val="auto"/>
                <w:kern w:val="0"/>
                <w:highlight w:val="none"/>
              </w:rPr>
              <w:t>委托代理人</w:t>
            </w:r>
          </w:p>
        </w:tc>
        <w:tc>
          <w:tcPr>
            <w:tcW w:w="4946" w:type="dxa"/>
            <w:tcBorders>
              <w:top w:val="single" w:color="auto" w:sz="4" w:space="0"/>
              <w:left w:val="single" w:color="auto" w:sz="4" w:space="0"/>
            </w:tcBorders>
            <w:noWrap w:val="0"/>
            <w:vAlign w:val="center"/>
          </w:tcPr>
          <w:p w14:paraId="4F1DA209">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lang w:eastAsia="zh-CN"/>
              </w:rPr>
              <w:t>投标人</w:t>
            </w:r>
            <w:r>
              <w:rPr>
                <w:rFonts w:hint="eastAsia" w:ascii="宋体" w:hAnsi="宋体" w:cs="宋体"/>
                <w:color w:val="auto"/>
                <w:kern w:val="0"/>
                <w:highlight w:val="none"/>
              </w:rPr>
              <w:t>法定代表人的委托代理人有法定代表人签署的授权委托书且其授权委托书符合</w:t>
            </w:r>
            <w:r>
              <w:rPr>
                <w:rFonts w:hint="eastAsia" w:ascii="宋体" w:hAnsi="宋体" w:cs="宋体"/>
                <w:color w:val="auto"/>
                <w:kern w:val="0"/>
                <w:highlight w:val="none"/>
                <w:lang w:eastAsia="zh-CN"/>
              </w:rPr>
              <w:t>招标</w:t>
            </w:r>
            <w:r>
              <w:rPr>
                <w:rFonts w:hint="eastAsia" w:ascii="宋体" w:hAnsi="宋体" w:cs="宋体"/>
                <w:color w:val="auto"/>
                <w:kern w:val="0"/>
                <w:highlight w:val="none"/>
              </w:rPr>
              <w:t>文件规定的格式。</w:t>
            </w:r>
          </w:p>
        </w:tc>
      </w:tr>
      <w:tr w14:paraId="56808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002" w:type="dxa"/>
            <w:vMerge w:val="continue"/>
            <w:tcBorders>
              <w:right w:val="single" w:color="auto" w:sz="4" w:space="0"/>
            </w:tcBorders>
            <w:noWrap w:val="0"/>
            <w:vAlign w:val="center"/>
          </w:tcPr>
          <w:p w14:paraId="7B9849B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宋体"/>
                <w:color w:val="auto"/>
                <w:szCs w:val="21"/>
                <w:highlight w:val="none"/>
              </w:rPr>
            </w:pPr>
          </w:p>
        </w:tc>
        <w:tc>
          <w:tcPr>
            <w:tcW w:w="1438" w:type="dxa"/>
            <w:gridSpan w:val="2"/>
            <w:vMerge w:val="continue"/>
            <w:tcBorders>
              <w:left w:val="single" w:color="auto" w:sz="4" w:space="0"/>
              <w:right w:val="single" w:color="auto" w:sz="4" w:space="0"/>
            </w:tcBorders>
            <w:noWrap w:val="0"/>
            <w:vAlign w:val="center"/>
          </w:tcPr>
          <w:p w14:paraId="24BDF27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top w:val="single" w:color="auto" w:sz="4" w:space="0"/>
              <w:left w:val="single" w:color="auto" w:sz="4" w:space="0"/>
              <w:right w:val="single" w:color="auto" w:sz="4" w:space="0"/>
            </w:tcBorders>
            <w:noWrap w:val="0"/>
            <w:vAlign w:val="center"/>
          </w:tcPr>
          <w:p w14:paraId="7E26A57C">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szCs w:val="21"/>
                <w:highlight w:val="none"/>
              </w:rPr>
            </w:pPr>
            <w:r>
              <w:rPr>
                <w:rFonts w:hint="eastAsia" w:ascii="宋体" w:hAnsi="宋体" w:cs="Times New Roman"/>
                <w:color w:val="auto"/>
                <w:highlight w:val="none"/>
              </w:rPr>
              <w:t>备选</w:t>
            </w:r>
            <w:r>
              <w:rPr>
                <w:rFonts w:hint="eastAsia" w:ascii="宋体" w:hAnsi="宋体" w:cs="Times New Roman"/>
                <w:color w:val="auto"/>
                <w:highlight w:val="none"/>
                <w:lang w:eastAsia="zh-CN"/>
              </w:rPr>
              <w:t>投标</w:t>
            </w:r>
            <w:r>
              <w:rPr>
                <w:rFonts w:hint="eastAsia" w:ascii="宋体" w:hAnsi="宋体" w:cs="Times New Roman"/>
                <w:color w:val="auto"/>
                <w:highlight w:val="none"/>
              </w:rPr>
              <w:t>方案</w:t>
            </w:r>
          </w:p>
        </w:tc>
        <w:tc>
          <w:tcPr>
            <w:tcW w:w="4946" w:type="dxa"/>
            <w:tcBorders>
              <w:top w:val="single" w:color="auto" w:sz="4" w:space="0"/>
              <w:left w:val="single" w:color="auto" w:sz="4" w:space="0"/>
            </w:tcBorders>
            <w:noWrap w:val="0"/>
            <w:vAlign w:val="center"/>
          </w:tcPr>
          <w:p w14:paraId="1AF17110">
            <w:pPr>
              <w:keepNext w:val="0"/>
              <w:keepLines w:val="0"/>
              <w:suppressLineNumbers w:val="0"/>
              <w:autoSpaceDE w:val="0"/>
              <w:autoSpaceDN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Times New Roman"/>
                <w:color w:val="auto"/>
                <w:kern w:val="0"/>
                <w:highlight w:val="none"/>
              </w:rPr>
              <w:t>除</w:t>
            </w:r>
            <w:r>
              <w:rPr>
                <w:rFonts w:hint="eastAsia" w:ascii="宋体" w:hAnsi="宋体" w:cs="Times New Roman"/>
                <w:color w:val="auto"/>
                <w:kern w:val="0"/>
                <w:highlight w:val="none"/>
                <w:lang w:eastAsia="zh-CN"/>
              </w:rPr>
              <w:t>招标</w:t>
            </w:r>
            <w:r>
              <w:rPr>
                <w:rFonts w:hint="eastAsia" w:ascii="宋体" w:hAnsi="宋体" w:cs="Times New Roman"/>
                <w:color w:val="auto"/>
                <w:kern w:val="0"/>
                <w:highlight w:val="none"/>
              </w:rPr>
              <w:t>文件明确允许提交备选</w:t>
            </w: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方案外，</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不得提交备选</w:t>
            </w: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方案。</w:t>
            </w:r>
          </w:p>
        </w:tc>
      </w:tr>
      <w:tr w14:paraId="442B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right w:val="single" w:color="auto" w:sz="4" w:space="0"/>
            </w:tcBorders>
            <w:noWrap w:val="0"/>
            <w:vAlign w:val="center"/>
          </w:tcPr>
          <w:p w14:paraId="75C00DA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Times New Roman"/>
                <w:color w:val="auto"/>
                <w:kern w:val="0"/>
                <w:highlight w:val="none"/>
                <w:lang w:eastAsia="zh-CN"/>
              </w:rPr>
            </w:pPr>
            <w:r>
              <w:rPr>
                <w:rFonts w:hint="eastAsia" w:ascii="宋体" w:hAnsi="宋体" w:cs="Times New Roman"/>
                <w:color w:val="auto"/>
                <w:kern w:val="0"/>
                <w:highlight w:val="none"/>
              </w:rPr>
              <w:t>2.</w:t>
            </w:r>
            <w:r>
              <w:rPr>
                <w:rFonts w:hint="eastAsia" w:ascii="宋体" w:hAnsi="宋体" w:cs="Times New Roman"/>
                <w:color w:val="auto"/>
                <w:kern w:val="0"/>
                <w:highlight w:val="none"/>
                <w:lang w:val="en-US" w:eastAsia="zh-CN"/>
              </w:rPr>
              <w:t>1</w:t>
            </w:r>
            <w:r>
              <w:rPr>
                <w:rFonts w:hint="eastAsia" w:ascii="宋体" w:hAnsi="宋体" w:cs="Times New Roman"/>
                <w:color w:val="auto"/>
                <w:kern w:val="0"/>
                <w:highlight w:val="none"/>
              </w:rPr>
              <w:t>.</w:t>
            </w:r>
            <w:r>
              <w:rPr>
                <w:rFonts w:hint="eastAsia" w:ascii="宋体" w:hAnsi="宋体" w:cs="Times New Roman"/>
                <w:color w:val="auto"/>
                <w:kern w:val="0"/>
                <w:highlight w:val="none"/>
                <w:lang w:val="en-US" w:eastAsia="zh-CN"/>
              </w:rPr>
              <w:t>2</w:t>
            </w:r>
          </w:p>
        </w:tc>
        <w:tc>
          <w:tcPr>
            <w:tcW w:w="1438" w:type="dxa"/>
            <w:gridSpan w:val="2"/>
            <w:vMerge w:val="restart"/>
            <w:tcBorders>
              <w:left w:val="single" w:color="auto" w:sz="4" w:space="0"/>
            </w:tcBorders>
            <w:noWrap w:val="0"/>
            <w:vAlign w:val="center"/>
          </w:tcPr>
          <w:p w14:paraId="3E08A54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资格</w:t>
            </w:r>
            <w:r>
              <w:rPr>
                <w:rFonts w:hint="eastAsia" w:ascii="宋体" w:hAnsi="宋体" w:cs="Times New Roman"/>
                <w:color w:val="auto"/>
                <w:kern w:val="0"/>
                <w:highlight w:val="none"/>
              </w:rPr>
              <w:t>评审标准</w:t>
            </w:r>
          </w:p>
        </w:tc>
        <w:tc>
          <w:tcPr>
            <w:tcW w:w="2630" w:type="dxa"/>
            <w:gridSpan w:val="2"/>
            <w:tcBorders>
              <w:right w:val="single" w:color="auto" w:sz="4" w:space="0"/>
            </w:tcBorders>
            <w:noWrap w:val="0"/>
            <w:vAlign w:val="center"/>
          </w:tcPr>
          <w:p w14:paraId="189F5B37">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rPr>
              <w:t>营业执照</w:t>
            </w:r>
          </w:p>
        </w:tc>
        <w:tc>
          <w:tcPr>
            <w:tcW w:w="4946" w:type="dxa"/>
            <w:tcBorders>
              <w:left w:val="single" w:color="auto" w:sz="4" w:space="0"/>
            </w:tcBorders>
            <w:noWrap w:val="0"/>
            <w:vAlign w:val="center"/>
          </w:tcPr>
          <w:p w14:paraId="5B7E1006">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19EB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04FBDFA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6A5B69A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2E90F47E">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szCs w:val="21"/>
                <w:highlight w:val="none"/>
              </w:rPr>
              <w:t>信誉要求</w:t>
            </w:r>
          </w:p>
        </w:tc>
        <w:tc>
          <w:tcPr>
            <w:tcW w:w="4946" w:type="dxa"/>
            <w:tcBorders>
              <w:left w:val="single" w:color="auto" w:sz="4" w:space="0"/>
            </w:tcBorders>
            <w:noWrap w:val="0"/>
            <w:vAlign w:val="center"/>
          </w:tcPr>
          <w:p w14:paraId="3BCFD352">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2B3AA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0FB5DA3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561E12C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58B38ED6">
            <w:pPr>
              <w:keepNext w:val="0"/>
              <w:keepLines w:val="0"/>
              <w:suppressLineNumbers w:val="0"/>
              <w:adjustRightInd w:val="0"/>
              <w:snapToGrid w:val="0"/>
              <w:spacing w:before="0" w:beforeAutospacing="0" w:after="0" w:afterAutospacing="0" w:line="360" w:lineRule="auto"/>
              <w:ind w:left="0" w:leftChars="0" w:right="0" w:rightChars="0"/>
              <w:jc w:val="left"/>
              <w:rPr>
                <w:rFonts w:hint="default"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3C认证产品</w:t>
            </w:r>
          </w:p>
        </w:tc>
        <w:tc>
          <w:tcPr>
            <w:tcW w:w="4946" w:type="dxa"/>
            <w:tcBorders>
              <w:left w:val="single" w:color="auto" w:sz="4" w:space="0"/>
            </w:tcBorders>
            <w:noWrap w:val="0"/>
            <w:vAlign w:val="center"/>
          </w:tcPr>
          <w:p w14:paraId="46AE2C4E">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040CB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483A5BE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7920015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3E35303B">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eastAsia="zh-CN"/>
              </w:rPr>
              <w:t>授权方式</w:t>
            </w:r>
          </w:p>
        </w:tc>
        <w:tc>
          <w:tcPr>
            <w:tcW w:w="4946" w:type="dxa"/>
            <w:tcBorders>
              <w:left w:val="single" w:color="auto" w:sz="4" w:space="0"/>
            </w:tcBorders>
            <w:noWrap w:val="0"/>
            <w:vAlign w:val="center"/>
          </w:tcPr>
          <w:p w14:paraId="44D636F2">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4E23B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254416D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0D3572F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6AC8C8CD">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lang w:eastAsia="zh-CN"/>
              </w:rPr>
              <w:t>企业认证</w:t>
            </w:r>
          </w:p>
        </w:tc>
        <w:tc>
          <w:tcPr>
            <w:tcW w:w="4946" w:type="dxa"/>
            <w:tcBorders>
              <w:left w:val="single" w:color="auto" w:sz="4" w:space="0"/>
            </w:tcBorders>
            <w:noWrap w:val="0"/>
            <w:vAlign w:val="center"/>
          </w:tcPr>
          <w:p w14:paraId="4D205BBD">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64B3F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75766CD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2D7E223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3D3975D9">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宋体"/>
                <w:color w:val="auto"/>
                <w:kern w:val="0"/>
                <w:highlight w:val="none"/>
              </w:rPr>
              <w:t>其他要求</w:t>
            </w:r>
          </w:p>
        </w:tc>
        <w:tc>
          <w:tcPr>
            <w:tcW w:w="4946" w:type="dxa"/>
            <w:tcBorders>
              <w:left w:val="single" w:color="auto" w:sz="4" w:space="0"/>
            </w:tcBorders>
            <w:noWrap w:val="0"/>
            <w:vAlign w:val="center"/>
          </w:tcPr>
          <w:p w14:paraId="0FAF67AC">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须知”第1.4.1项规定。</w:t>
            </w:r>
          </w:p>
        </w:tc>
      </w:tr>
      <w:tr w14:paraId="5457D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0A632D7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1438" w:type="dxa"/>
            <w:gridSpan w:val="2"/>
            <w:vMerge w:val="continue"/>
            <w:tcBorders>
              <w:left w:val="single" w:color="auto" w:sz="4" w:space="0"/>
            </w:tcBorders>
            <w:noWrap w:val="0"/>
            <w:vAlign w:val="center"/>
          </w:tcPr>
          <w:p w14:paraId="4E3E530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b/>
                <w:color w:val="auto"/>
                <w:kern w:val="0"/>
                <w:highlight w:val="none"/>
              </w:rPr>
            </w:pPr>
          </w:p>
        </w:tc>
        <w:tc>
          <w:tcPr>
            <w:tcW w:w="2630" w:type="dxa"/>
            <w:gridSpan w:val="2"/>
            <w:tcBorders>
              <w:right w:val="single" w:color="auto" w:sz="4" w:space="0"/>
            </w:tcBorders>
            <w:noWrap w:val="0"/>
            <w:vAlign w:val="center"/>
          </w:tcPr>
          <w:p w14:paraId="00C821FB">
            <w:pPr>
              <w:keepNext w:val="0"/>
              <w:keepLines w:val="0"/>
              <w:suppressLineNumbers w:val="0"/>
              <w:adjustRightInd w:val="0"/>
              <w:snapToGrid w:val="0"/>
              <w:spacing w:before="0" w:beforeAutospacing="0" w:after="0" w:afterAutospacing="0" w:line="360" w:lineRule="auto"/>
              <w:ind w:left="0" w:leftChars="0" w:right="0" w:rightChars="0"/>
              <w:jc w:val="left"/>
              <w:rPr>
                <w:rFonts w:hint="eastAsia" w:ascii="宋体" w:hAnsi="宋体" w:cs="宋体"/>
                <w:color w:val="auto"/>
                <w:kern w:val="0"/>
                <w:highlight w:val="none"/>
              </w:rPr>
            </w:pPr>
            <w:r>
              <w:rPr>
                <w:rFonts w:hint="eastAsia" w:ascii="宋体" w:hAnsi="宋体" w:cs="Times New Roman"/>
                <w:color w:val="auto"/>
                <w:highlight w:val="none"/>
              </w:rPr>
              <w:t>不存在禁止</w:t>
            </w:r>
            <w:r>
              <w:rPr>
                <w:rFonts w:hint="eastAsia" w:ascii="宋体" w:hAnsi="宋体" w:cs="Times New Roman"/>
                <w:color w:val="auto"/>
                <w:highlight w:val="none"/>
                <w:lang w:eastAsia="zh-CN"/>
              </w:rPr>
              <w:t>投标</w:t>
            </w:r>
            <w:r>
              <w:rPr>
                <w:rFonts w:hint="eastAsia" w:ascii="宋体" w:hAnsi="宋体" w:cs="Times New Roman"/>
                <w:color w:val="auto"/>
                <w:highlight w:val="none"/>
              </w:rPr>
              <w:t>的情形</w:t>
            </w:r>
          </w:p>
        </w:tc>
        <w:tc>
          <w:tcPr>
            <w:tcW w:w="4946" w:type="dxa"/>
            <w:tcBorders>
              <w:left w:val="single" w:color="auto" w:sz="4" w:space="0"/>
            </w:tcBorders>
            <w:noWrap w:val="0"/>
            <w:vAlign w:val="center"/>
          </w:tcPr>
          <w:p w14:paraId="5C9BDD84">
            <w:pPr>
              <w:keepNext w:val="0"/>
              <w:keepLines w:val="0"/>
              <w:suppressLineNumbers w:val="0"/>
              <w:adjustRightInd w:val="0"/>
              <w:snapToGrid w:val="0"/>
              <w:spacing w:before="0" w:beforeAutospacing="0" w:after="0" w:afterAutospacing="0" w:line="360" w:lineRule="auto"/>
              <w:ind w:left="0" w:leftChars="0" w:right="0" w:rightChars="0" w:firstLine="420" w:firstLineChars="200"/>
              <w:rPr>
                <w:rFonts w:hint="eastAsia" w:ascii="宋体" w:hAnsi="宋体" w:cs="宋体"/>
                <w:color w:val="auto"/>
                <w:kern w:val="0"/>
                <w:highlight w:val="none"/>
              </w:rPr>
            </w:pPr>
            <w:r>
              <w:rPr>
                <w:rFonts w:hint="eastAsia" w:ascii="宋体" w:hAnsi="宋体" w:cs="宋体"/>
                <w:color w:val="auto"/>
                <w:kern w:val="0"/>
                <w:highlight w:val="none"/>
              </w:rPr>
              <w:t>不存在第二章“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 1.4.3 项规定的任何一种情形。</w:t>
            </w:r>
          </w:p>
        </w:tc>
      </w:tr>
      <w:tr w14:paraId="22478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restart"/>
            <w:tcBorders>
              <w:top w:val="single" w:color="auto" w:sz="4" w:space="0"/>
              <w:right w:val="single" w:color="auto" w:sz="4" w:space="0"/>
            </w:tcBorders>
            <w:noWrap w:val="0"/>
            <w:vAlign w:val="center"/>
          </w:tcPr>
          <w:p w14:paraId="6C46EE0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rPr>
              <w:t>2.</w:t>
            </w:r>
            <w:r>
              <w:rPr>
                <w:rFonts w:hint="eastAsia" w:ascii="宋体" w:hAnsi="宋体" w:cs="Times New Roman"/>
                <w:color w:val="auto"/>
                <w:kern w:val="0"/>
                <w:highlight w:val="none"/>
                <w:lang w:val="en-US" w:eastAsia="zh-CN"/>
              </w:rPr>
              <w:t>1</w:t>
            </w:r>
            <w:r>
              <w:rPr>
                <w:rFonts w:hint="eastAsia" w:ascii="宋体" w:hAnsi="宋体" w:cs="Times New Roman"/>
                <w:color w:val="auto"/>
                <w:kern w:val="0"/>
                <w:highlight w:val="none"/>
              </w:rPr>
              <w:t>.</w:t>
            </w:r>
            <w:r>
              <w:rPr>
                <w:rFonts w:hint="eastAsia" w:ascii="宋体" w:hAnsi="宋体" w:cs="Times New Roman"/>
                <w:color w:val="auto"/>
                <w:kern w:val="0"/>
                <w:highlight w:val="none"/>
                <w:lang w:val="en-US" w:eastAsia="zh-CN"/>
              </w:rPr>
              <w:t>2</w:t>
            </w:r>
          </w:p>
        </w:tc>
        <w:tc>
          <w:tcPr>
            <w:tcW w:w="1438" w:type="dxa"/>
            <w:gridSpan w:val="2"/>
            <w:vMerge w:val="restart"/>
            <w:tcBorders>
              <w:top w:val="single" w:color="auto" w:sz="4" w:space="0"/>
              <w:left w:val="single" w:color="auto" w:sz="4" w:space="0"/>
            </w:tcBorders>
            <w:noWrap w:val="0"/>
            <w:vAlign w:val="center"/>
          </w:tcPr>
          <w:p w14:paraId="23352F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r>
              <w:rPr>
                <w:rFonts w:hint="eastAsia" w:ascii="宋体" w:hAnsi="宋体" w:cs="Times New Roman"/>
                <w:color w:val="auto"/>
                <w:kern w:val="0"/>
                <w:highlight w:val="none"/>
              </w:rPr>
              <w:t>响应性评审标准</w:t>
            </w:r>
          </w:p>
        </w:tc>
        <w:tc>
          <w:tcPr>
            <w:tcW w:w="2630" w:type="dxa"/>
            <w:gridSpan w:val="2"/>
            <w:tcBorders>
              <w:right w:val="single" w:color="auto" w:sz="4" w:space="0"/>
            </w:tcBorders>
            <w:noWrap w:val="0"/>
            <w:vAlign w:val="center"/>
          </w:tcPr>
          <w:p w14:paraId="6BAC3A4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报价</w:t>
            </w:r>
          </w:p>
        </w:tc>
        <w:tc>
          <w:tcPr>
            <w:tcW w:w="4946" w:type="dxa"/>
            <w:tcBorders>
              <w:left w:val="single" w:color="auto" w:sz="4" w:space="0"/>
            </w:tcBorders>
            <w:noWrap w:val="0"/>
            <w:vAlign w:val="center"/>
          </w:tcPr>
          <w:p w14:paraId="3E3CCFCD">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报价不得高于</w:t>
            </w:r>
            <w:r>
              <w:rPr>
                <w:rFonts w:hint="eastAsia" w:ascii="宋体" w:hAnsi="宋体" w:cs="Times New Roman"/>
                <w:color w:val="auto"/>
                <w:kern w:val="0"/>
                <w:highlight w:val="none"/>
                <w:lang w:eastAsia="zh-CN"/>
              </w:rPr>
              <w:t>招标人</w:t>
            </w:r>
            <w:r>
              <w:rPr>
                <w:rFonts w:hint="eastAsia" w:ascii="宋体" w:hAnsi="宋体" w:cs="Times New Roman"/>
                <w:color w:val="auto"/>
                <w:kern w:val="0"/>
                <w:highlight w:val="none"/>
              </w:rPr>
              <w:t>公布的最高限价。</w:t>
            </w:r>
          </w:p>
        </w:tc>
      </w:tr>
      <w:tr w14:paraId="5385E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5F47FE0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325A047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34D3A853">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default" w:ascii="宋体" w:hAnsi="宋体" w:cs="Times New Roman"/>
                <w:color w:val="auto"/>
                <w:kern w:val="0"/>
                <w:highlight w:val="none"/>
              </w:rPr>
              <w:t>内容</w:t>
            </w:r>
          </w:p>
        </w:tc>
        <w:tc>
          <w:tcPr>
            <w:tcW w:w="4946" w:type="dxa"/>
            <w:tcBorders>
              <w:left w:val="single" w:color="auto" w:sz="4" w:space="0"/>
            </w:tcBorders>
            <w:noWrap w:val="0"/>
            <w:vAlign w:val="center"/>
          </w:tcPr>
          <w:p w14:paraId="52EAE12A">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default"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default" w:ascii="宋体" w:hAnsi="宋体" w:cs="Times New Roman"/>
                <w:color w:val="auto"/>
                <w:kern w:val="0"/>
                <w:highlight w:val="none"/>
              </w:rPr>
              <w:t>须知”第1.3.1项规定</w:t>
            </w:r>
            <w:r>
              <w:rPr>
                <w:rFonts w:hint="eastAsia" w:ascii="宋体" w:hAnsi="宋体" w:cs="Times New Roman"/>
                <w:color w:val="auto"/>
                <w:kern w:val="0"/>
                <w:highlight w:val="none"/>
              </w:rPr>
              <w:t>。</w:t>
            </w:r>
          </w:p>
        </w:tc>
      </w:tr>
      <w:tr w14:paraId="52148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58E2E97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0CCD86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2807C6B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服务</w:t>
            </w:r>
            <w:r>
              <w:rPr>
                <w:rFonts w:hint="eastAsia" w:ascii="宋体" w:hAnsi="宋体" w:cs="Times New Roman"/>
                <w:color w:val="auto"/>
                <w:kern w:val="0"/>
                <w:highlight w:val="none"/>
              </w:rPr>
              <w:t>期</w:t>
            </w:r>
          </w:p>
        </w:tc>
        <w:tc>
          <w:tcPr>
            <w:tcW w:w="4946" w:type="dxa"/>
            <w:tcBorders>
              <w:left w:val="single" w:color="auto" w:sz="4" w:space="0"/>
            </w:tcBorders>
            <w:noWrap w:val="0"/>
            <w:vAlign w:val="center"/>
          </w:tcPr>
          <w:p w14:paraId="6E15F76F">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须知”第1.3.2项规定。</w:t>
            </w:r>
          </w:p>
        </w:tc>
      </w:tr>
      <w:tr w14:paraId="784CF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7EA904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3D413D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616F7E1B">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rPr>
              <w:t>质量标准</w:t>
            </w:r>
          </w:p>
        </w:tc>
        <w:tc>
          <w:tcPr>
            <w:tcW w:w="4946" w:type="dxa"/>
            <w:tcBorders>
              <w:left w:val="single" w:color="auto" w:sz="4" w:space="0"/>
            </w:tcBorders>
            <w:noWrap w:val="0"/>
            <w:vAlign w:val="center"/>
          </w:tcPr>
          <w:p w14:paraId="30B5E759">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须知”</w:t>
            </w:r>
            <w:r>
              <w:rPr>
                <w:rFonts w:hint="eastAsia" w:ascii="宋体" w:hAnsi="宋体" w:cs="Times New Roman"/>
                <w:color w:val="auto"/>
                <w:kern w:val="0"/>
                <w:szCs w:val="21"/>
                <w:highlight w:val="none"/>
              </w:rPr>
              <w:t>第1.3.3项</w:t>
            </w:r>
            <w:r>
              <w:rPr>
                <w:rFonts w:hint="eastAsia" w:ascii="宋体" w:hAnsi="宋体" w:cs="Times New Roman"/>
                <w:color w:val="auto"/>
                <w:kern w:val="0"/>
                <w:highlight w:val="none"/>
              </w:rPr>
              <w:t>规定。</w:t>
            </w:r>
          </w:p>
        </w:tc>
      </w:tr>
      <w:tr w14:paraId="2AC46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top w:val="single" w:color="auto" w:sz="4" w:space="0"/>
              <w:right w:val="single" w:color="auto" w:sz="4" w:space="0"/>
            </w:tcBorders>
            <w:noWrap w:val="0"/>
            <w:vAlign w:val="center"/>
          </w:tcPr>
          <w:p w14:paraId="0C40335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top w:val="single" w:color="auto" w:sz="4" w:space="0"/>
              <w:left w:val="single" w:color="auto" w:sz="4" w:space="0"/>
            </w:tcBorders>
            <w:noWrap w:val="0"/>
            <w:vAlign w:val="center"/>
          </w:tcPr>
          <w:p w14:paraId="70D52E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6894B52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有效期</w:t>
            </w:r>
          </w:p>
        </w:tc>
        <w:tc>
          <w:tcPr>
            <w:tcW w:w="4946" w:type="dxa"/>
            <w:tcBorders>
              <w:left w:val="single" w:color="auto" w:sz="4" w:space="0"/>
            </w:tcBorders>
            <w:noWrap w:val="0"/>
            <w:vAlign w:val="center"/>
          </w:tcPr>
          <w:p w14:paraId="281953D8">
            <w:pPr>
              <w:keepNext w:val="0"/>
              <w:keepLines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cs="Times New Roman"/>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须知”第3.3.1项规定。</w:t>
            </w:r>
          </w:p>
        </w:tc>
      </w:tr>
      <w:tr w14:paraId="5D258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464DA62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7EAF43C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4A2E03C2">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kern w:val="0"/>
                <w:highlight w:val="none"/>
                <w:lang w:eastAsia="zh-CN"/>
              </w:rPr>
              <w:t>投标</w:t>
            </w:r>
            <w:r>
              <w:rPr>
                <w:rFonts w:hint="eastAsia" w:ascii="宋体" w:hAnsi="宋体" w:cs="宋体"/>
                <w:color w:val="auto"/>
                <w:kern w:val="0"/>
                <w:highlight w:val="none"/>
              </w:rPr>
              <w:t>保证金</w:t>
            </w:r>
          </w:p>
        </w:tc>
        <w:tc>
          <w:tcPr>
            <w:tcW w:w="4946" w:type="dxa"/>
            <w:tcBorders>
              <w:left w:val="single" w:color="auto" w:sz="4" w:space="0"/>
            </w:tcBorders>
            <w:noWrap w:val="0"/>
            <w:vAlign w:val="center"/>
          </w:tcPr>
          <w:p w14:paraId="15904E7E">
            <w:pPr>
              <w:keepNext w:val="0"/>
              <w:keepLines w:val="0"/>
              <w:suppressLineNumbers w:val="0"/>
              <w:tabs>
                <w:tab w:val="left" w:pos="611"/>
                <w:tab w:val="left" w:pos="669"/>
              </w:tabs>
              <w:adjustRightInd w:val="0"/>
              <w:snapToGrid w:val="0"/>
              <w:spacing w:before="0" w:beforeAutospacing="0" w:after="0" w:afterAutospacing="0" w:line="360" w:lineRule="auto"/>
              <w:ind w:left="0" w:right="0"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w:t>
            </w:r>
            <w:r>
              <w:rPr>
                <w:rFonts w:hint="eastAsia" w:ascii="宋体" w:hAnsi="宋体" w:cs="宋体"/>
                <w:color w:val="auto"/>
                <w:kern w:val="0"/>
                <w:highlight w:val="none"/>
                <w:lang w:eastAsia="zh-CN"/>
              </w:rPr>
              <w:t>投标人</w:t>
            </w:r>
            <w:r>
              <w:rPr>
                <w:rFonts w:hint="eastAsia" w:ascii="宋体" w:hAnsi="宋体" w:cs="宋体"/>
                <w:color w:val="auto"/>
                <w:kern w:val="0"/>
                <w:highlight w:val="none"/>
              </w:rPr>
              <w:t>须知”第3.4.1项规定。</w:t>
            </w:r>
          </w:p>
        </w:tc>
      </w:tr>
      <w:tr w14:paraId="4035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3FA31F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640E76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28F2A4BA">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宋体"/>
                <w:color w:val="auto"/>
                <w:kern w:val="0"/>
                <w:highlight w:val="none"/>
              </w:rPr>
            </w:pPr>
            <w:r>
              <w:rPr>
                <w:rFonts w:hint="eastAsia" w:ascii="宋体" w:hAnsi="宋体" w:cs="宋体"/>
                <w:color w:val="auto"/>
                <w:kern w:val="0"/>
                <w:highlight w:val="none"/>
              </w:rPr>
              <w:t>权利义务</w:t>
            </w:r>
          </w:p>
        </w:tc>
        <w:tc>
          <w:tcPr>
            <w:tcW w:w="4946" w:type="dxa"/>
            <w:tcBorders>
              <w:left w:val="single" w:color="auto" w:sz="4" w:space="0"/>
            </w:tcBorders>
            <w:noWrap w:val="0"/>
            <w:vAlign w:val="center"/>
          </w:tcPr>
          <w:p w14:paraId="79194B9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宋体"/>
                <w:color w:val="auto"/>
                <w:kern w:val="0"/>
                <w:highlight w:val="none"/>
              </w:rPr>
            </w:pPr>
            <w:r>
              <w:rPr>
                <w:rFonts w:hint="eastAsia" w:ascii="宋体" w:hAnsi="宋体" w:cs="Times New Roman"/>
                <w:color w:val="auto"/>
                <w:kern w:val="0"/>
                <w:highlight w:val="none"/>
              </w:rPr>
              <w:t>符合第二章“</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须知”第1.12.1项规定和第四章“合同条款及格式”中的实质性要求和条件，</w:t>
            </w:r>
            <w:r>
              <w:rPr>
                <w:rFonts w:hint="eastAsia" w:ascii="宋体" w:hAnsi="宋体" w:cs="Times New Roman"/>
                <w:color w:val="auto"/>
                <w:kern w:val="0"/>
                <w:highlight w:val="none"/>
                <w:lang w:eastAsia="zh-CN"/>
              </w:rPr>
              <w:t>投标文件</w:t>
            </w:r>
            <w:r>
              <w:rPr>
                <w:rFonts w:hint="eastAsia" w:ascii="宋体" w:hAnsi="宋体" w:cs="Times New Roman"/>
                <w:color w:val="auto"/>
                <w:kern w:val="0"/>
                <w:highlight w:val="none"/>
              </w:rPr>
              <w:t>不应附有</w:t>
            </w:r>
            <w:r>
              <w:rPr>
                <w:rFonts w:hint="eastAsia" w:ascii="宋体" w:hAnsi="宋体" w:cs="Times New Roman"/>
                <w:color w:val="auto"/>
                <w:kern w:val="0"/>
                <w:highlight w:val="none"/>
                <w:lang w:eastAsia="zh-CN"/>
              </w:rPr>
              <w:t>招标人</w:t>
            </w:r>
            <w:r>
              <w:rPr>
                <w:rFonts w:hint="eastAsia" w:ascii="宋体" w:hAnsi="宋体" w:cs="Times New Roman"/>
                <w:color w:val="auto"/>
                <w:kern w:val="0"/>
                <w:highlight w:val="none"/>
              </w:rPr>
              <w:t>不能接受的条件。（由</w:t>
            </w:r>
            <w:r>
              <w:rPr>
                <w:rFonts w:hint="eastAsia" w:ascii="宋体" w:hAnsi="宋体" w:cs="Times New Roman"/>
                <w:color w:val="auto"/>
                <w:kern w:val="0"/>
                <w:highlight w:val="none"/>
                <w:lang w:eastAsia="zh-CN"/>
              </w:rPr>
              <w:t>投标人</w:t>
            </w:r>
            <w:r>
              <w:rPr>
                <w:rFonts w:hint="eastAsia" w:ascii="宋体" w:hAnsi="宋体" w:cs="Times New Roman"/>
                <w:color w:val="auto"/>
                <w:kern w:val="0"/>
                <w:highlight w:val="none"/>
              </w:rPr>
              <w:t>承诺，承诺书格式详见第六章</w:t>
            </w:r>
            <w:r>
              <w:rPr>
                <w:rFonts w:hint="eastAsia" w:ascii="宋体" w:hAnsi="宋体" w:cs="Times New Roman"/>
                <w:color w:val="auto"/>
                <w:kern w:val="0"/>
                <w:highlight w:val="none"/>
                <w:lang w:eastAsia="zh-CN"/>
              </w:rPr>
              <w:t>投标文件</w:t>
            </w:r>
            <w:r>
              <w:rPr>
                <w:rFonts w:hint="eastAsia" w:ascii="宋体" w:hAnsi="宋体" w:cs="Times New Roman"/>
                <w:color w:val="auto"/>
                <w:kern w:val="0"/>
                <w:highlight w:val="none"/>
              </w:rPr>
              <w:t>格式。）</w:t>
            </w:r>
          </w:p>
        </w:tc>
      </w:tr>
      <w:tr w14:paraId="58AE7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37CD67F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4E7516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47D6A58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default" w:ascii="宋体" w:hAnsi="宋体" w:cs="Times New Roman"/>
                <w:color w:val="auto"/>
                <w:kern w:val="0"/>
                <w:highlight w:val="none"/>
              </w:rPr>
              <w:t>实质性要求</w:t>
            </w:r>
          </w:p>
        </w:tc>
        <w:tc>
          <w:tcPr>
            <w:tcW w:w="4946" w:type="dxa"/>
            <w:tcBorders>
              <w:left w:val="single" w:color="auto" w:sz="4" w:space="0"/>
            </w:tcBorders>
            <w:noWrap w:val="0"/>
            <w:vAlign w:val="center"/>
          </w:tcPr>
          <w:p w14:paraId="479DD595">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highlight w:val="none"/>
              </w:rPr>
            </w:pPr>
            <w:r>
              <w:rPr>
                <w:rFonts w:hint="eastAsia" w:ascii="宋体" w:hAnsi="宋体" w:cs="宋体"/>
                <w:color w:val="auto"/>
                <w:kern w:val="0"/>
                <w:highlight w:val="none"/>
              </w:rPr>
              <w:t>符合第五章“</w:t>
            </w:r>
            <w:r>
              <w:rPr>
                <w:rFonts w:hint="eastAsia" w:ascii="宋体" w:hAnsi="宋体" w:cs="宋体"/>
                <w:color w:val="auto"/>
                <w:kern w:val="0"/>
                <w:highlight w:val="none"/>
                <w:lang w:eastAsia="zh-CN"/>
              </w:rPr>
              <w:t>招标人</w:t>
            </w:r>
            <w:r>
              <w:rPr>
                <w:rFonts w:hint="eastAsia" w:ascii="宋体" w:hAnsi="宋体" w:cs="宋体"/>
                <w:color w:val="auto"/>
                <w:kern w:val="0"/>
                <w:highlight w:val="none"/>
              </w:rPr>
              <w:t>要求”中的实质性要求和条件</w:t>
            </w:r>
            <w:r>
              <w:rPr>
                <w:rFonts w:hint="eastAsia" w:ascii="宋体" w:hAnsi="宋体" w:cs="Times New Roman"/>
                <w:color w:val="auto"/>
                <w:kern w:val="0"/>
                <w:szCs w:val="21"/>
                <w:highlight w:val="none"/>
              </w:rPr>
              <w:t>（由</w:t>
            </w:r>
            <w:r>
              <w:rPr>
                <w:rFonts w:hint="eastAsia" w:ascii="宋体" w:hAnsi="宋体" w:cs="Times New Roman"/>
                <w:color w:val="auto"/>
                <w:kern w:val="0"/>
                <w:szCs w:val="21"/>
                <w:highlight w:val="none"/>
                <w:lang w:eastAsia="zh-CN"/>
              </w:rPr>
              <w:t>投标人</w:t>
            </w:r>
            <w:r>
              <w:rPr>
                <w:rFonts w:hint="eastAsia" w:ascii="宋体" w:hAnsi="宋体" w:cs="Times New Roman"/>
                <w:color w:val="auto"/>
                <w:kern w:val="0"/>
                <w:szCs w:val="21"/>
                <w:highlight w:val="none"/>
              </w:rPr>
              <w:t>填报商务和技术偏差表（</w:t>
            </w:r>
            <w:r>
              <w:rPr>
                <w:rFonts w:hint="eastAsia" w:ascii="宋体" w:hAnsi="宋体" w:cs="Times New Roman"/>
                <w:b/>
                <w:bCs/>
                <w:color w:val="auto"/>
                <w:kern w:val="0"/>
                <w:szCs w:val="21"/>
                <w:highlight w:val="none"/>
              </w:rPr>
              <w:t>不允许负偏差</w:t>
            </w:r>
            <w:r>
              <w:rPr>
                <w:rFonts w:hint="eastAsia" w:ascii="宋体" w:hAnsi="宋体" w:cs="Times New Roman"/>
                <w:color w:val="auto"/>
                <w:kern w:val="0"/>
                <w:szCs w:val="21"/>
                <w:highlight w:val="none"/>
              </w:rPr>
              <w:t>）和自行承诺，承诺书格式详见第六章</w:t>
            </w:r>
            <w:r>
              <w:rPr>
                <w:rFonts w:hint="eastAsia" w:ascii="宋体" w:hAnsi="宋体" w:cs="Times New Roman"/>
                <w:color w:val="auto"/>
                <w:kern w:val="0"/>
                <w:szCs w:val="21"/>
                <w:highlight w:val="none"/>
                <w:lang w:eastAsia="zh-CN"/>
              </w:rPr>
              <w:t>投标文件</w:t>
            </w:r>
            <w:r>
              <w:rPr>
                <w:rFonts w:hint="eastAsia" w:ascii="宋体" w:hAnsi="宋体" w:cs="Times New Roman"/>
                <w:color w:val="auto"/>
                <w:kern w:val="0"/>
                <w:szCs w:val="21"/>
                <w:highlight w:val="none"/>
              </w:rPr>
              <w:t>格式。）</w:t>
            </w:r>
          </w:p>
          <w:p w14:paraId="7C0FED49">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Times New Roman"/>
                <w:color w:val="auto"/>
                <w:kern w:val="0"/>
                <w:highlight w:val="none"/>
              </w:rPr>
            </w:pPr>
            <w:r>
              <w:rPr>
                <w:rFonts w:hint="eastAsia" w:ascii="宋体" w:hAnsi="宋体" w:cs="Times New Roman"/>
                <w:color w:val="auto"/>
                <w:kern w:val="0"/>
                <w:highlight w:val="none"/>
              </w:rPr>
              <w:t>本次</w:t>
            </w:r>
            <w:r>
              <w:rPr>
                <w:rFonts w:hint="eastAsia" w:ascii="宋体" w:hAnsi="宋体" w:cs="Times New Roman"/>
                <w:color w:val="auto"/>
                <w:kern w:val="0"/>
                <w:highlight w:val="none"/>
                <w:lang w:eastAsia="zh-CN"/>
              </w:rPr>
              <w:t>投标</w:t>
            </w:r>
            <w:r>
              <w:rPr>
                <w:rFonts w:hint="eastAsia" w:ascii="宋体" w:hAnsi="宋体" w:cs="Times New Roman"/>
                <w:color w:val="auto"/>
                <w:kern w:val="0"/>
                <w:highlight w:val="none"/>
              </w:rPr>
              <w:t>不得有串通</w:t>
            </w:r>
            <w:r>
              <w:rPr>
                <w:rFonts w:hint="eastAsia" w:ascii="宋体" w:hAnsi="宋体" w:cs="Times New Roman"/>
                <w:color w:val="auto"/>
                <w:kern w:val="0"/>
                <w:highlight w:val="none"/>
                <w:lang w:eastAsia="zh-CN"/>
              </w:rPr>
              <w:t>投标</w:t>
            </w:r>
            <w:r>
              <w:rPr>
                <w:rFonts w:hint="default" w:ascii="宋体" w:hAnsi="宋体" w:cs="Times New Roman"/>
                <w:color w:val="auto"/>
                <w:kern w:val="0"/>
                <w:highlight w:val="none"/>
              </w:rPr>
              <w:t>、弄虚作假等其他违反法律、法规</w:t>
            </w:r>
            <w:r>
              <w:rPr>
                <w:rFonts w:hint="eastAsia" w:ascii="宋体" w:hAnsi="宋体" w:cs="Times New Roman"/>
                <w:color w:val="auto"/>
                <w:kern w:val="0"/>
                <w:highlight w:val="none"/>
              </w:rPr>
              <w:t>的</w:t>
            </w:r>
            <w:r>
              <w:rPr>
                <w:rFonts w:hint="default" w:ascii="宋体" w:hAnsi="宋体" w:cs="Times New Roman"/>
                <w:color w:val="auto"/>
                <w:kern w:val="0"/>
                <w:highlight w:val="none"/>
              </w:rPr>
              <w:t>行为。</w:t>
            </w:r>
          </w:p>
          <w:p w14:paraId="0C67581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highlight w:val="none"/>
              </w:rPr>
            </w:pPr>
            <w:r>
              <w:rPr>
                <w:rFonts w:hint="eastAsia" w:ascii="宋体" w:hAnsi="宋体" w:cs="Times New Roman"/>
                <w:color w:val="auto"/>
                <w:kern w:val="0"/>
                <w:highlight w:val="none"/>
              </w:rPr>
              <w:t>按评标委员会要求澄清、说明或补正。</w:t>
            </w:r>
          </w:p>
        </w:tc>
      </w:tr>
      <w:tr w14:paraId="60062C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2" w:type="dxa"/>
            <w:vMerge w:val="continue"/>
            <w:tcBorders>
              <w:right w:val="single" w:color="auto" w:sz="4" w:space="0"/>
            </w:tcBorders>
            <w:noWrap w:val="0"/>
            <w:vAlign w:val="center"/>
          </w:tcPr>
          <w:p w14:paraId="1A376D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1438" w:type="dxa"/>
            <w:gridSpan w:val="2"/>
            <w:vMerge w:val="continue"/>
            <w:tcBorders>
              <w:left w:val="single" w:color="auto" w:sz="4" w:space="0"/>
            </w:tcBorders>
            <w:noWrap w:val="0"/>
            <w:vAlign w:val="center"/>
          </w:tcPr>
          <w:p w14:paraId="23D9A01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cs="Times New Roman"/>
                <w:color w:val="auto"/>
                <w:kern w:val="0"/>
                <w:highlight w:val="none"/>
              </w:rPr>
            </w:pPr>
          </w:p>
        </w:tc>
        <w:tc>
          <w:tcPr>
            <w:tcW w:w="2630" w:type="dxa"/>
            <w:gridSpan w:val="2"/>
            <w:tcBorders>
              <w:right w:val="single" w:color="auto" w:sz="4" w:space="0"/>
            </w:tcBorders>
            <w:noWrap w:val="0"/>
            <w:vAlign w:val="center"/>
          </w:tcPr>
          <w:p w14:paraId="5B4156F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cs="Times New Roman"/>
                <w:color w:val="auto"/>
                <w:kern w:val="0"/>
                <w:highlight w:val="none"/>
              </w:rPr>
            </w:pPr>
            <w:r>
              <w:rPr>
                <w:rFonts w:hint="eastAsia" w:ascii="宋体" w:hAnsi="宋体" w:cs="Times New Roman"/>
                <w:color w:val="auto"/>
                <w:kern w:val="0"/>
                <w:highlight w:val="none"/>
                <w:lang w:eastAsia="zh-CN"/>
              </w:rPr>
              <w:t>投标</w:t>
            </w:r>
            <w:r>
              <w:rPr>
                <w:rFonts w:hint="default" w:ascii="宋体" w:hAnsi="宋体" w:cs="Times New Roman"/>
                <w:color w:val="auto"/>
                <w:kern w:val="0"/>
                <w:highlight w:val="none"/>
              </w:rPr>
              <w:t>报价算术错误修正</w:t>
            </w:r>
          </w:p>
        </w:tc>
        <w:tc>
          <w:tcPr>
            <w:tcW w:w="4946" w:type="dxa"/>
            <w:tcBorders>
              <w:left w:val="single" w:color="auto" w:sz="4" w:space="0"/>
            </w:tcBorders>
            <w:noWrap w:val="0"/>
            <w:vAlign w:val="center"/>
          </w:tcPr>
          <w:p w14:paraId="6779D63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cs="Times New Roman"/>
                <w:color w:val="auto"/>
                <w:kern w:val="0"/>
                <w:highlight w:val="none"/>
              </w:rPr>
            </w:pPr>
            <w:r>
              <w:rPr>
                <w:rFonts w:hint="default" w:ascii="宋体" w:hAnsi="宋体" w:cs="Times New Roman"/>
                <w:color w:val="auto"/>
                <w:kern w:val="0"/>
                <w:highlight w:val="none"/>
              </w:rPr>
              <w:t>符合第三章3.评标程序第3.</w:t>
            </w:r>
            <w:r>
              <w:rPr>
                <w:rFonts w:hint="eastAsia" w:ascii="宋体" w:hAnsi="宋体" w:cs="Times New Roman"/>
                <w:color w:val="auto"/>
                <w:kern w:val="0"/>
                <w:highlight w:val="none"/>
              </w:rPr>
              <w:t>2</w:t>
            </w:r>
            <w:r>
              <w:rPr>
                <w:rFonts w:hint="default" w:ascii="宋体" w:hAnsi="宋体" w:cs="Times New Roman"/>
                <w:color w:val="auto"/>
                <w:kern w:val="0"/>
                <w:highlight w:val="none"/>
              </w:rPr>
              <w:t>.3项规定。</w:t>
            </w:r>
          </w:p>
        </w:tc>
      </w:tr>
      <w:tr w14:paraId="678F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jc w:val="center"/>
        </w:trPr>
        <w:tc>
          <w:tcPr>
            <w:tcW w:w="2294" w:type="dxa"/>
            <w:gridSpan w:val="2"/>
            <w:noWrap w:val="0"/>
            <w:vAlign w:val="center"/>
          </w:tcPr>
          <w:p w14:paraId="4C2CAC79">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cs="Times New Roman"/>
                <w:b/>
                <w:color w:val="auto"/>
                <w:kern w:val="0"/>
                <w:highlight w:val="none"/>
              </w:rPr>
              <w:t>条款号</w:t>
            </w:r>
          </w:p>
        </w:tc>
        <w:tc>
          <w:tcPr>
            <w:tcW w:w="1697" w:type="dxa"/>
            <w:gridSpan w:val="2"/>
            <w:noWrap w:val="0"/>
            <w:vAlign w:val="center"/>
          </w:tcPr>
          <w:p w14:paraId="36FDBB37">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cs="Times New Roman"/>
                <w:b/>
                <w:color w:val="auto"/>
                <w:kern w:val="0"/>
                <w:highlight w:val="none"/>
              </w:rPr>
              <w:t>评审因素</w:t>
            </w:r>
          </w:p>
        </w:tc>
        <w:tc>
          <w:tcPr>
            <w:tcW w:w="6025" w:type="dxa"/>
            <w:gridSpan w:val="2"/>
            <w:noWrap w:val="0"/>
            <w:vAlign w:val="center"/>
          </w:tcPr>
          <w:p w14:paraId="608A832C">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宋体" w:hAnsi="宋体" w:cs="宋体"/>
                <w:color w:val="auto"/>
                <w:kern w:val="0"/>
                <w:szCs w:val="21"/>
                <w:highlight w:val="none"/>
              </w:rPr>
            </w:pPr>
            <w:r>
              <w:rPr>
                <w:rFonts w:hint="eastAsia" w:ascii="宋体" w:hAnsi="宋体" w:cs="Times New Roman"/>
                <w:b/>
                <w:color w:val="auto"/>
                <w:kern w:val="0"/>
                <w:highlight w:val="none"/>
              </w:rPr>
              <w:t>评审标准</w:t>
            </w:r>
          </w:p>
        </w:tc>
      </w:tr>
      <w:tr w14:paraId="1F69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7C4CC644">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w:t>
            </w:r>
          </w:p>
        </w:tc>
        <w:tc>
          <w:tcPr>
            <w:tcW w:w="1697" w:type="dxa"/>
            <w:gridSpan w:val="2"/>
            <w:noWrap w:val="0"/>
            <w:vAlign w:val="center"/>
          </w:tcPr>
          <w:p w14:paraId="6FDA6993">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分值构成</w:t>
            </w:r>
          </w:p>
          <w:p w14:paraId="0606900C">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(总分1OO分)</w:t>
            </w:r>
          </w:p>
        </w:tc>
        <w:tc>
          <w:tcPr>
            <w:tcW w:w="6025" w:type="dxa"/>
            <w:gridSpan w:val="2"/>
            <w:noWrap w:val="0"/>
            <w:vAlign w:val="center"/>
          </w:tcPr>
          <w:p w14:paraId="56137EE9">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（1）投标报价：50分；</w:t>
            </w:r>
          </w:p>
          <w:p w14:paraId="7E319E2C">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（2）商务部分：</w:t>
            </w:r>
            <w:r>
              <w:rPr>
                <w:rFonts w:hint="eastAsia" w:ascii="宋体" w:hAnsi="宋体" w:cs="宋体"/>
                <w:snapToGrid w:val="0"/>
                <w:color w:val="auto"/>
                <w:kern w:val="0"/>
                <w:szCs w:val="21"/>
                <w:highlight w:val="none"/>
                <w:lang w:val="en-US" w:eastAsia="zh-CN"/>
              </w:rPr>
              <w:t>20</w:t>
            </w:r>
            <w:r>
              <w:rPr>
                <w:rFonts w:hint="eastAsia" w:ascii="宋体" w:hAnsi="宋体" w:cs="宋体"/>
                <w:snapToGrid w:val="0"/>
                <w:color w:val="auto"/>
                <w:kern w:val="0"/>
                <w:szCs w:val="21"/>
                <w:highlight w:val="none"/>
              </w:rPr>
              <w:t>分；</w:t>
            </w:r>
          </w:p>
          <w:p w14:paraId="3807704E">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（3）技术部分：</w:t>
            </w:r>
            <w:r>
              <w:rPr>
                <w:rFonts w:hint="eastAsia" w:ascii="宋体" w:hAnsi="宋体" w:cs="宋体"/>
                <w:snapToGrid w:val="0"/>
                <w:color w:val="auto"/>
                <w:kern w:val="0"/>
                <w:szCs w:val="21"/>
                <w:highlight w:val="none"/>
                <w:lang w:val="en-US" w:eastAsia="zh-CN"/>
              </w:rPr>
              <w:t>30</w:t>
            </w:r>
            <w:r>
              <w:rPr>
                <w:rFonts w:hint="eastAsia" w:ascii="宋体" w:hAnsi="宋体" w:cs="宋体"/>
                <w:snapToGrid w:val="0"/>
                <w:color w:val="auto"/>
                <w:kern w:val="0"/>
                <w:szCs w:val="21"/>
                <w:highlight w:val="none"/>
              </w:rPr>
              <w:t>分。</w:t>
            </w:r>
          </w:p>
        </w:tc>
      </w:tr>
      <w:tr w14:paraId="3C6FC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2A655B29">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en-US" w:eastAsia="zh-CN"/>
              </w:rPr>
              <w:t>1</w:t>
            </w:r>
          </w:p>
        </w:tc>
        <w:tc>
          <w:tcPr>
            <w:tcW w:w="1697" w:type="dxa"/>
            <w:gridSpan w:val="2"/>
            <w:noWrap w:val="0"/>
            <w:vAlign w:val="center"/>
          </w:tcPr>
          <w:p w14:paraId="672BDB4F">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评标基准价</w:t>
            </w:r>
          </w:p>
        </w:tc>
        <w:tc>
          <w:tcPr>
            <w:tcW w:w="6025" w:type="dxa"/>
            <w:gridSpan w:val="2"/>
            <w:noWrap w:val="0"/>
            <w:vAlign w:val="center"/>
          </w:tcPr>
          <w:p w14:paraId="296D89D0">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步评审合格的投标人（招标人设有最高限价的，投标报价高于最高限价的除外）的投标报价中去掉六分之一（不能整除的按小数点前整数取整，不足六家报价则不去掉）的最低价和相同家数的最高价后取算术平均值P1即为投标总报价的评标基准价。</w:t>
            </w:r>
          </w:p>
          <w:p w14:paraId="0595012D">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在评标基准价计算完成后（除计算错误外），在后续的评审过程中不得再对其做出调整。</w:t>
            </w:r>
          </w:p>
          <w:p w14:paraId="25CC2773">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以上计算取小数点后两位，第三位四舍五入。</w:t>
            </w:r>
          </w:p>
        </w:tc>
      </w:tr>
      <w:tr w14:paraId="3956D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4B1EA597">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2.2.</w:t>
            </w:r>
            <w:r>
              <w:rPr>
                <w:rFonts w:hint="eastAsia" w:ascii="宋体" w:hAnsi="宋体" w:cs="宋体"/>
                <w:color w:val="auto"/>
                <w:kern w:val="0"/>
                <w:szCs w:val="21"/>
                <w:highlight w:val="none"/>
                <w:lang w:val="en-US" w:eastAsia="zh-CN"/>
              </w:rPr>
              <w:t>2</w:t>
            </w:r>
          </w:p>
        </w:tc>
        <w:tc>
          <w:tcPr>
            <w:tcW w:w="1697" w:type="dxa"/>
            <w:gridSpan w:val="2"/>
            <w:noWrap w:val="0"/>
            <w:vAlign w:val="center"/>
          </w:tcPr>
          <w:p w14:paraId="3FD754C2">
            <w:pPr>
              <w:keepNext w:val="0"/>
              <w:keepLines w:val="0"/>
              <w:suppressLineNumbers w:val="0"/>
              <w:spacing w:before="0" w:beforeAutospacing="0" w:after="0" w:afterAutospacing="0"/>
              <w:ind w:left="0" w:right="0" w:firstLine="0" w:firstLineChars="0"/>
              <w:jc w:val="center"/>
              <w:rPr>
                <w:rFonts w:hint="default" w:ascii="宋体" w:hAnsi="宋体" w:cs="宋体"/>
                <w:snapToGrid w:val="0"/>
                <w:color w:val="auto"/>
                <w:kern w:val="0"/>
                <w:szCs w:val="21"/>
                <w:highlight w:val="none"/>
              </w:rPr>
            </w:pPr>
            <w:r>
              <w:rPr>
                <w:rFonts w:hint="default" w:ascii="Times New Roman" w:hAnsi="Times New Roman"/>
                <w:bCs/>
                <w:color w:val="000000" w:themeColor="text1"/>
                <w:kern w:val="0"/>
                <w:highlight w:val="none"/>
                <w14:textFill>
                  <w14:solidFill>
                    <w14:schemeClr w14:val="tx1"/>
                  </w14:solidFill>
                </w14:textFill>
              </w:rPr>
              <w:t>投标报价评分标准</w:t>
            </w:r>
          </w:p>
        </w:tc>
        <w:tc>
          <w:tcPr>
            <w:tcW w:w="6025" w:type="dxa"/>
            <w:gridSpan w:val="2"/>
            <w:noWrap w:val="0"/>
            <w:vAlign w:val="center"/>
          </w:tcPr>
          <w:p w14:paraId="29B3C933">
            <w:pPr>
              <w:keepNext w:val="0"/>
              <w:keepLines w:val="0"/>
              <w:suppressLineNumbers w:val="0"/>
              <w:spacing w:before="0" w:beforeAutospacing="0" w:after="0" w:afterAutospacing="0" w:line="360" w:lineRule="auto"/>
              <w:ind w:left="0" w:right="0" w:firstLine="420" w:firstLineChars="0"/>
              <w:rPr>
                <w:rFonts w:hint="eastAsia" w:ascii="宋体" w:hAnsi="宋体" w:cs="宋体"/>
                <w:snapToGrid w:val="0"/>
                <w:color w:val="auto"/>
                <w:kern w:val="0"/>
                <w:szCs w:val="21"/>
                <w:highlight w:val="none"/>
              </w:rPr>
            </w:pPr>
            <w:r>
              <w:rPr>
                <w:rFonts w:hint="eastAsia" w:ascii="宋体" w:hAnsi="宋体" w:cs="宋体"/>
                <w:kern w:val="0"/>
                <w:szCs w:val="21"/>
                <w:highlight w:val="none"/>
              </w:rPr>
              <w:t>投标人报价综合得分以其所报各型号分别得分</w:t>
            </w:r>
            <w:r>
              <w:rPr>
                <w:rFonts w:hint="eastAsia" w:ascii="宋体" w:hAnsi="宋体" w:cs="宋体"/>
                <w:kern w:val="0"/>
                <w:szCs w:val="21"/>
                <w:highlight w:val="none"/>
                <w:lang w:eastAsia="zh-CN"/>
              </w:rPr>
              <w:t>结合招标数量加权</w:t>
            </w:r>
            <w:r>
              <w:rPr>
                <w:rFonts w:hint="eastAsia" w:ascii="宋体" w:hAnsi="宋体" w:cs="宋体"/>
                <w:kern w:val="0"/>
                <w:szCs w:val="21"/>
                <w:highlight w:val="none"/>
              </w:rPr>
              <w:t>平均计算。</w:t>
            </w:r>
          </w:p>
        </w:tc>
      </w:tr>
      <w:tr w14:paraId="36F23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19CE19A1">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2.2.3</w:t>
            </w:r>
          </w:p>
        </w:tc>
        <w:tc>
          <w:tcPr>
            <w:tcW w:w="1697" w:type="dxa"/>
            <w:gridSpan w:val="2"/>
            <w:noWrap w:val="0"/>
            <w:vAlign w:val="center"/>
          </w:tcPr>
          <w:p w14:paraId="08C43CF0">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投标报价的偏差率计算</w:t>
            </w:r>
          </w:p>
        </w:tc>
        <w:tc>
          <w:tcPr>
            <w:tcW w:w="6025" w:type="dxa"/>
            <w:gridSpan w:val="2"/>
            <w:noWrap w:val="0"/>
            <w:vAlign w:val="center"/>
          </w:tcPr>
          <w:p w14:paraId="67EB305D">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偏差率=1OO％×(投标人报价-评标基准价)／评标基准价</w:t>
            </w:r>
          </w:p>
          <w:p w14:paraId="5A3F4459">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偏差率计算保留小数点后两位，小数点后第三位“四舍五入”。</w:t>
            </w:r>
          </w:p>
        </w:tc>
      </w:tr>
      <w:tr w14:paraId="3A5D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2294" w:type="dxa"/>
            <w:gridSpan w:val="2"/>
            <w:noWrap w:val="0"/>
            <w:vAlign w:val="center"/>
          </w:tcPr>
          <w:p w14:paraId="745E78AC">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2.2.4</w:t>
            </w:r>
          </w:p>
          <w:p w14:paraId="03873D91">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1697" w:type="dxa"/>
            <w:gridSpan w:val="2"/>
            <w:noWrap w:val="0"/>
            <w:vAlign w:val="center"/>
          </w:tcPr>
          <w:p w14:paraId="77F64032">
            <w:pPr>
              <w:keepNext w:val="0"/>
              <w:keepLines w:val="0"/>
              <w:suppressLineNumbers w:val="0"/>
              <w:snapToGrid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投标报价评分标准</w:t>
            </w:r>
          </w:p>
          <w:p w14:paraId="39B29CC8">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0分）</w:t>
            </w:r>
          </w:p>
        </w:tc>
        <w:tc>
          <w:tcPr>
            <w:tcW w:w="6025" w:type="dxa"/>
            <w:gridSpan w:val="2"/>
            <w:noWrap w:val="0"/>
            <w:vAlign w:val="center"/>
          </w:tcPr>
          <w:p w14:paraId="4E60E510">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已通过初审的总报价先得50分（注：未通过初审的总报价不再参与评分），在此基础上，</w:t>
            </w:r>
            <w:r>
              <w:rPr>
                <w:rFonts w:hint="default" w:ascii="Times New Roman" w:hAnsi="Times New Roman"/>
                <w:bCs/>
                <w:color w:val="000000" w:themeColor="text1"/>
                <w:highlight w:val="none"/>
                <w14:textFill>
                  <w14:solidFill>
                    <w14:schemeClr w14:val="tx1"/>
                  </w14:solidFill>
                </w14:textFill>
              </w:rPr>
              <w:t>投标总报价与评标基准价相比，</w:t>
            </w:r>
            <w:r>
              <w:rPr>
                <w:rFonts w:hint="eastAsia" w:ascii="宋体" w:hAnsi="宋体" w:cs="宋体"/>
                <w:snapToGrid w:val="0"/>
                <w:color w:val="auto"/>
                <w:kern w:val="0"/>
                <w:szCs w:val="21"/>
                <w:highlight w:val="none"/>
              </w:rPr>
              <w:t>偏差率每增加1％扣</w:t>
            </w:r>
            <w:r>
              <w:rPr>
                <w:rFonts w:hint="eastAsia" w:ascii="宋体" w:hAnsi="宋体" w:cs="宋体"/>
                <w:snapToGrid w:val="0"/>
                <w:color w:val="auto"/>
                <w:kern w:val="0"/>
                <w:szCs w:val="21"/>
                <w:highlight w:val="none"/>
                <w:lang w:val="en-US" w:eastAsia="zh-CN"/>
              </w:rPr>
              <w:t>1</w:t>
            </w:r>
            <w:r>
              <w:rPr>
                <w:rFonts w:hint="eastAsia" w:ascii="宋体" w:hAnsi="宋体" w:cs="宋体"/>
                <w:snapToGrid w:val="0"/>
                <w:color w:val="auto"/>
                <w:kern w:val="0"/>
                <w:szCs w:val="21"/>
                <w:highlight w:val="none"/>
              </w:rPr>
              <w:t>分，每减少1％扣</w:t>
            </w:r>
            <w:r>
              <w:rPr>
                <w:rFonts w:hint="eastAsia" w:ascii="宋体" w:hAnsi="宋体" w:cs="宋体"/>
                <w:snapToGrid w:val="0"/>
                <w:color w:val="auto"/>
                <w:kern w:val="0"/>
                <w:szCs w:val="21"/>
                <w:highlight w:val="none"/>
                <w:lang w:val="en-US" w:eastAsia="zh-CN"/>
              </w:rPr>
              <w:t>0.5</w:t>
            </w:r>
            <w:r>
              <w:rPr>
                <w:rFonts w:hint="eastAsia" w:ascii="宋体" w:hAnsi="宋体" w:cs="宋体"/>
                <w:snapToGrid w:val="0"/>
                <w:color w:val="auto"/>
                <w:kern w:val="0"/>
                <w:szCs w:val="21"/>
                <w:highlight w:val="none"/>
              </w:rPr>
              <w:t>分, 扣完为止。</w:t>
            </w:r>
          </w:p>
          <w:p w14:paraId="6932F222">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按插入法计算得分。</w:t>
            </w:r>
          </w:p>
          <w:p w14:paraId="51B49178">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未参与评标基准价计算的投标报价，仍应参加计算相应分值。</w:t>
            </w:r>
          </w:p>
          <w:p w14:paraId="28D8BC77">
            <w:pPr>
              <w:keepNext w:val="0"/>
              <w:keepLines w:val="0"/>
              <w:suppressLineNumbers w:val="0"/>
              <w:spacing w:before="0" w:beforeAutospacing="0" w:after="0" w:afterAutospacing="0" w:line="440" w:lineRule="exact"/>
              <w:ind w:left="0" w:right="0" w:firstLine="420" w:firstLineChars="200"/>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以上计算取小数点后两位，第三位四舍五入。</w:t>
            </w:r>
          </w:p>
        </w:tc>
      </w:tr>
      <w:tr w14:paraId="7EB8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2" w:type="dxa"/>
            <w:vMerge w:val="restart"/>
            <w:noWrap w:val="0"/>
            <w:vAlign w:val="top"/>
          </w:tcPr>
          <w:p w14:paraId="288A85A3">
            <w:pPr>
              <w:keepNext w:val="0"/>
              <w:keepLines w:val="0"/>
              <w:suppressLineNumbers w:val="0"/>
              <w:spacing w:before="0" w:beforeAutospacing="0" w:after="0" w:afterAutospacing="0"/>
              <w:ind w:left="0" w:right="0"/>
              <w:rPr>
                <w:rFonts w:hint="eastAsia"/>
                <w:color w:val="auto"/>
                <w:highlight w:val="none"/>
              </w:rPr>
            </w:pPr>
          </w:p>
          <w:p w14:paraId="2667EED1">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p w14:paraId="4C6E31F0">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625CAC0C">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19B01A5F">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19072C76">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129B0752">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26FC51A6">
            <w:pPr>
              <w:keepNext w:val="0"/>
              <w:keepLines w:val="0"/>
              <w:suppressLineNumbers w:val="0"/>
              <w:spacing w:before="0" w:beforeAutospacing="0" w:after="0" w:afterAutospacing="0"/>
              <w:ind w:left="0" w:right="0"/>
              <w:rPr>
                <w:rFonts w:hint="eastAsia"/>
                <w:color w:val="auto"/>
                <w:highlight w:val="none"/>
              </w:rPr>
            </w:pPr>
          </w:p>
          <w:p w14:paraId="628BF4AD">
            <w:pPr>
              <w:keepNext w:val="0"/>
              <w:keepLines w:val="0"/>
              <w:suppressLineNumbers w:val="0"/>
              <w:spacing w:before="0" w:beforeAutospacing="0" w:after="0" w:afterAutospacing="0"/>
              <w:ind w:left="0" w:right="0"/>
              <w:rPr>
                <w:rFonts w:hint="eastAsia"/>
                <w:color w:val="auto"/>
                <w:highlight w:val="none"/>
              </w:rPr>
            </w:pPr>
          </w:p>
          <w:p w14:paraId="3ED9BB26">
            <w:pPr>
              <w:keepNext w:val="0"/>
              <w:keepLines w:val="0"/>
              <w:suppressLineNumbers w:val="0"/>
              <w:spacing w:before="0" w:beforeAutospacing="0" w:after="0" w:afterAutospacing="0" w:line="440" w:lineRule="exact"/>
              <w:ind w:left="210" w:right="0" w:hanging="210" w:hangingChars="100"/>
              <w:rPr>
                <w:rFonts w:hint="eastAsia" w:ascii="宋体" w:hAnsi="宋体" w:cs="宋体"/>
                <w:color w:val="auto"/>
                <w:szCs w:val="21"/>
                <w:highlight w:val="none"/>
              </w:rPr>
            </w:pPr>
            <w:r>
              <w:rPr>
                <w:rFonts w:hint="eastAsia" w:ascii="宋体" w:hAnsi="宋体" w:cs="宋体"/>
                <w:snapToGrid w:val="0"/>
                <w:color w:val="auto"/>
                <w:kern w:val="0"/>
                <w:szCs w:val="21"/>
                <w:highlight w:val="none"/>
              </w:rPr>
              <w:t>2.2.4 (2)</w:t>
            </w:r>
          </w:p>
        </w:tc>
        <w:tc>
          <w:tcPr>
            <w:tcW w:w="1292" w:type="dxa"/>
            <w:vMerge w:val="restart"/>
            <w:noWrap w:val="0"/>
            <w:vAlign w:val="top"/>
          </w:tcPr>
          <w:p w14:paraId="5D5130AF">
            <w:pPr>
              <w:pStyle w:val="5"/>
              <w:suppressLineNumbers w:val="0"/>
              <w:spacing w:beforeAutospacing="0" w:afterAutospacing="0"/>
              <w:ind w:left="0" w:right="0"/>
              <w:outlineLvl w:val="2"/>
              <w:rPr>
                <w:rFonts w:hint="eastAsia" w:ascii="Times New Roman" w:eastAsia="宋体" w:cs="Times New Roman"/>
                <w:color w:val="auto"/>
                <w:highlight w:val="none"/>
              </w:rPr>
            </w:pPr>
          </w:p>
          <w:p w14:paraId="0D9E7E31">
            <w:pPr>
              <w:keepNext w:val="0"/>
              <w:keepLines w:val="0"/>
              <w:suppressLineNumbers w:val="0"/>
              <w:snapToGrid w:val="0"/>
              <w:spacing w:before="0" w:beforeAutospacing="0" w:after="0" w:afterAutospacing="0"/>
              <w:ind w:left="0" w:right="0"/>
              <w:jc w:val="left"/>
              <w:rPr>
                <w:rFonts w:hint="eastAsia" w:ascii="宋体" w:hAnsi="宋体" w:cs="宋体"/>
                <w:snapToGrid w:val="0"/>
                <w:color w:val="auto"/>
                <w:kern w:val="0"/>
                <w:szCs w:val="21"/>
                <w:highlight w:val="none"/>
              </w:rPr>
            </w:pPr>
          </w:p>
          <w:p w14:paraId="430285F7">
            <w:pPr>
              <w:keepNext w:val="0"/>
              <w:keepLines w:val="0"/>
              <w:suppressLineNumbers w:val="0"/>
              <w:snapToGrid w:val="0"/>
              <w:spacing w:before="0" w:beforeAutospacing="0" w:after="0" w:afterAutospacing="0"/>
              <w:ind w:left="0" w:right="0"/>
              <w:jc w:val="left"/>
              <w:rPr>
                <w:rFonts w:hint="eastAsia" w:ascii="宋体" w:hAnsi="宋体" w:cs="宋体"/>
                <w:snapToGrid w:val="0"/>
                <w:color w:val="auto"/>
                <w:kern w:val="0"/>
                <w:szCs w:val="21"/>
                <w:highlight w:val="none"/>
              </w:rPr>
            </w:pPr>
          </w:p>
          <w:p w14:paraId="7572A051">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26651212">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43EB8DCF">
            <w:pPr>
              <w:pStyle w:val="2"/>
              <w:keepNext w:val="0"/>
              <w:keepLines w:val="0"/>
              <w:suppressLineNumbers w:val="0"/>
              <w:spacing w:before="0" w:beforeAutospacing="0" w:afterAutospacing="0"/>
              <w:ind w:left="0" w:right="0"/>
              <w:rPr>
                <w:rFonts w:hint="eastAsia" w:ascii="宋体" w:hAnsi="宋体" w:cs="宋体"/>
                <w:snapToGrid w:val="0"/>
                <w:color w:val="auto"/>
                <w:kern w:val="0"/>
                <w:szCs w:val="21"/>
                <w:highlight w:val="none"/>
              </w:rPr>
            </w:pPr>
          </w:p>
          <w:p w14:paraId="3931743D">
            <w:pPr>
              <w:keepNext w:val="0"/>
              <w:keepLines w:val="0"/>
              <w:suppressLineNumbers w:val="0"/>
              <w:spacing w:before="0" w:beforeAutospacing="0" w:after="0" w:afterAutospacing="0"/>
              <w:ind w:left="0" w:right="0"/>
              <w:rPr>
                <w:rFonts w:hint="eastAsia" w:ascii="宋体" w:hAnsi="宋体" w:cs="宋体"/>
                <w:snapToGrid w:val="0"/>
                <w:color w:val="auto"/>
                <w:kern w:val="0"/>
                <w:szCs w:val="21"/>
                <w:highlight w:val="none"/>
              </w:rPr>
            </w:pPr>
          </w:p>
          <w:p w14:paraId="6D6F06BB">
            <w:pPr>
              <w:pStyle w:val="2"/>
              <w:keepNext w:val="0"/>
              <w:keepLines w:val="0"/>
              <w:suppressLineNumbers w:val="0"/>
              <w:spacing w:before="0" w:beforeAutospacing="0" w:afterAutospacing="0"/>
              <w:ind w:left="0" w:right="0"/>
              <w:rPr>
                <w:rFonts w:hint="eastAsia"/>
                <w:color w:val="auto"/>
                <w:highlight w:val="none"/>
              </w:rPr>
            </w:pPr>
          </w:p>
          <w:p w14:paraId="7DDF76C9">
            <w:pPr>
              <w:keepNext w:val="0"/>
              <w:keepLines w:val="0"/>
              <w:suppressLineNumbers w:val="0"/>
              <w:spacing w:before="0" w:beforeAutospacing="0" w:after="0" w:afterAutospacing="0"/>
              <w:ind w:left="0" w:right="0"/>
              <w:rPr>
                <w:rFonts w:hint="eastAsia"/>
                <w:color w:val="auto"/>
                <w:highlight w:val="none"/>
              </w:rPr>
            </w:pPr>
          </w:p>
          <w:p w14:paraId="6B4E9AEE">
            <w:pPr>
              <w:keepNext w:val="0"/>
              <w:keepLines w:val="0"/>
              <w:suppressLineNumbers w:val="0"/>
              <w:snapToGrid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宋体" w:cs="宋体"/>
                <w:snapToGrid w:val="0"/>
                <w:color w:val="auto"/>
                <w:kern w:val="0"/>
                <w:szCs w:val="21"/>
                <w:highlight w:val="none"/>
              </w:rPr>
              <w:t>商务部分    （</w:t>
            </w:r>
            <w:r>
              <w:rPr>
                <w:rFonts w:hint="eastAsia" w:ascii="宋体" w:hAnsi="宋体" w:cs="宋体"/>
                <w:snapToGrid w:val="0"/>
                <w:color w:val="auto"/>
                <w:kern w:val="0"/>
                <w:szCs w:val="21"/>
                <w:highlight w:val="none"/>
                <w:lang w:val="en-US" w:eastAsia="zh-CN"/>
              </w:rPr>
              <w:t>2</w:t>
            </w:r>
            <w:r>
              <w:rPr>
                <w:rFonts w:hint="eastAsia" w:ascii="宋体" w:hAnsi="宋体" w:cs="宋体"/>
                <w:snapToGrid w:val="0"/>
                <w:color w:val="auto"/>
                <w:kern w:val="0"/>
                <w:szCs w:val="21"/>
                <w:highlight w:val="none"/>
              </w:rPr>
              <w:t>0分）</w:t>
            </w:r>
          </w:p>
        </w:tc>
        <w:tc>
          <w:tcPr>
            <w:tcW w:w="1697" w:type="dxa"/>
            <w:gridSpan w:val="2"/>
            <w:noWrap w:val="0"/>
            <w:vAlign w:val="top"/>
          </w:tcPr>
          <w:p w14:paraId="705E8C67">
            <w:pPr>
              <w:keepNext w:val="0"/>
              <w:keepLines w:val="0"/>
              <w:suppressLineNumbers w:val="0"/>
              <w:snapToGrid w:val="0"/>
              <w:spacing w:before="0" w:beforeAutospacing="0" w:after="0" w:afterAutospacing="0"/>
              <w:ind w:left="0" w:right="0" w:firstLine="210" w:firstLineChars="100"/>
              <w:jc w:val="left"/>
              <w:rPr>
                <w:rFonts w:hint="eastAsia" w:ascii="宋体" w:hAnsi="宋体" w:cs="宋体"/>
                <w:color w:val="auto"/>
                <w:kern w:val="0"/>
                <w:szCs w:val="21"/>
                <w:highlight w:val="none"/>
                <w:lang w:bidi="ar"/>
              </w:rPr>
            </w:pPr>
          </w:p>
          <w:p w14:paraId="0DCC4528">
            <w:pPr>
              <w:keepNext w:val="0"/>
              <w:keepLines w:val="0"/>
              <w:suppressLineNumbers w:val="0"/>
              <w:snapToGrid w:val="0"/>
              <w:spacing w:before="0" w:beforeAutospacing="0" w:after="0" w:afterAutospacing="0"/>
              <w:ind w:left="0" w:right="0"/>
              <w:jc w:val="left"/>
              <w:rPr>
                <w:rFonts w:hint="default" w:ascii="宋体" w:hAnsi="宋体" w:cs="宋体"/>
                <w:snapToGrid w:val="0"/>
                <w:color w:val="auto"/>
                <w:kern w:val="0"/>
                <w:szCs w:val="21"/>
                <w:highlight w:val="none"/>
              </w:rPr>
            </w:pPr>
            <w:r>
              <w:rPr>
                <w:rFonts w:hint="eastAsia" w:ascii="宋体" w:hAnsi="宋体" w:cs="宋体"/>
                <w:color w:val="auto"/>
                <w:kern w:val="0"/>
                <w:szCs w:val="21"/>
                <w:highlight w:val="none"/>
                <w:lang w:bidi="ar"/>
              </w:rPr>
              <w:t>投标人属性（</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p>
        </w:tc>
        <w:tc>
          <w:tcPr>
            <w:tcW w:w="6025" w:type="dxa"/>
            <w:gridSpan w:val="2"/>
            <w:noWrap w:val="0"/>
            <w:vAlign w:val="center"/>
          </w:tcPr>
          <w:p w14:paraId="3278A76B">
            <w:pPr>
              <w:keepNext w:val="0"/>
              <w:keepLines w:val="0"/>
              <w:suppressLineNumbers w:val="0"/>
              <w:spacing w:before="0" w:beforeAutospacing="0" w:after="0" w:afterAutospacing="0" w:line="360" w:lineRule="auto"/>
              <w:ind w:left="0" w:right="0" w:firstLine="420" w:firstLineChars="200"/>
              <w:rPr>
                <w:rFonts w:hint="eastAsia" w:ascii="宋体" w:hAnsi="宋体" w:eastAsia="新宋体" w:cs="宋体"/>
                <w:snapToGrid w:val="0"/>
                <w:color w:val="auto"/>
                <w:kern w:val="0"/>
                <w:szCs w:val="21"/>
                <w:highlight w:val="none"/>
                <w:lang w:eastAsia="zh-CN"/>
              </w:rPr>
            </w:pPr>
            <w:r>
              <w:rPr>
                <w:rFonts w:hint="eastAsia" w:ascii="宋体" w:hAnsi="宋体" w:eastAsia="新宋体" w:cs="宋体"/>
                <w:snapToGrid w:val="0"/>
                <w:color w:val="auto"/>
                <w:kern w:val="0"/>
                <w:szCs w:val="21"/>
                <w:highlight w:val="none"/>
              </w:rPr>
              <w:t>投标人属性为</w:t>
            </w:r>
            <w:r>
              <w:rPr>
                <w:rFonts w:hint="eastAsia" w:ascii="宋体" w:hAnsi="宋体" w:eastAsia="新宋体" w:cs="宋体"/>
                <w:snapToGrid w:val="0"/>
                <w:color w:val="auto"/>
                <w:kern w:val="0"/>
                <w:szCs w:val="21"/>
                <w:highlight w:val="none"/>
                <w:lang w:eastAsia="zh-CN"/>
              </w:rPr>
              <w:t>一级经销商</w:t>
            </w:r>
            <w:r>
              <w:rPr>
                <w:rFonts w:hint="eastAsia" w:ascii="宋体" w:hAnsi="宋体" w:eastAsia="新宋体" w:cs="宋体"/>
                <w:snapToGrid w:val="0"/>
                <w:color w:val="auto"/>
                <w:kern w:val="0"/>
                <w:szCs w:val="21"/>
                <w:highlight w:val="none"/>
              </w:rPr>
              <w:t>，得</w:t>
            </w:r>
            <w:r>
              <w:rPr>
                <w:rFonts w:hint="eastAsia" w:ascii="宋体" w:hAnsi="宋体" w:eastAsia="新宋体" w:cs="宋体"/>
                <w:snapToGrid w:val="0"/>
                <w:color w:val="auto"/>
                <w:kern w:val="0"/>
                <w:szCs w:val="21"/>
                <w:highlight w:val="none"/>
                <w:lang w:val="en-US" w:eastAsia="zh-CN"/>
              </w:rPr>
              <w:t>2</w:t>
            </w:r>
            <w:r>
              <w:rPr>
                <w:rFonts w:hint="eastAsia" w:ascii="宋体" w:hAnsi="宋体" w:eastAsia="新宋体" w:cs="宋体"/>
                <w:snapToGrid w:val="0"/>
                <w:color w:val="auto"/>
                <w:kern w:val="0"/>
                <w:szCs w:val="21"/>
                <w:highlight w:val="none"/>
              </w:rPr>
              <w:t>分；投标人属性为</w:t>
            </w:r>
            <w:r>
              <w:rPr>
                <w:rFonts w:hint="eastAsia" w:ascii="宋体" w:hAnsi="宋体" w:eastAsia="新宋体" w:cs="宋体"/>
                <w:snapToGrid w:val="0"/>
                <w:color w:val="auto"/>
                <w:kern w:val="0"/>
                <w:szCs w:val="21"/>
                <w:highlight w:val="none"/>
                <w:lang w:eastAsia="zh-CN"/>
              </w:rPr>
              <w:t>二级</w:t>
            </w:r>
            <w:r>
              <w:rPr>
                <w:rFonts w:hint="eastAsia" w:ascii="宋体" w:hAnsi="宋体" w:eastAsia="新宋体" w:cs="宋体"/>
                <w:snapToGrid w:val="0"/>
                <w:color w:val="auto"/>
                <w:kern w:val="0"/>
                <w:szCs w:val="21"/>
                <w:highlight w:val="none"/>
              </w:rPr>
              <w:t>经销商</w:t>
            </w:r>
            <w:r>
              <w:rPr>
                <w:rFonts w:hint="eastAsia" w:ascii="宋体" w:hAnsi="宋体" w:eastAsia="新宋体" w:cs="宋体"/>
                <w:snapToGrid w:val="0"/>
                <w:color w:val="auto"/>
                <w:kern w:val="0"/>
                <w:szCs w:val="21"/>
                <w:highlight w:val="none"/>
                <w:lang w:eastAsia="zh-CN"/>
              </w:rPr>
              <w:t>，</w:t>
            </w:r>
            <w:r>
              <w:rPr>
                <w:rFonts w:hint="eastAsia" w:ascii="宋体" w:hAnsi="宋体" w:eastAsia="新宋体" w:cs="宋体"/>
                <w:snapToGrid w:val="0"/>
                <w:color w:val="auto"/>
                <w:kern w:val="0"/>
                <w:szCs w:val="21"/>
                <w:highlight w:val="none"/>
              </w:rPr>
              <w:t>得</w:t>
            </w:r>
            <w:r>
              <w:rPr>
                <w:rFonts w:hint="eastAsia" w:ascii="宋体" w:hAnsi="宋体" w:eastAsia="新宋体" w:cs="宋体"/>
                <w:snapToGrid w:val="0"/>
                <w:color w:val="auto"/>
                <w:kern w:val="0"/>
                <w:szCs w:val="21"/>
                <w:highlight w:val="none"/>
                <w:lang w:val="en-US" w:eastAsia="zh-CN"/>
              </w:rPr>
              <w:t>1</w:t>
            </w:r>
            <w:r>
              <w:rPr>
                <w:rFonts w:hint="eastAsia" w:ascii="宋体" w:hAnsi="宋体" w:eastAsia="新宋体" w:cs="宋体"/>
                <w:snapToGrid w:val="0"/>
                <w:color w:val="auto"/>
                <w:kern w:val="0"/>
                <w:szCs w:val="21"/>
                <w:highlight w:val="none"/>
              </w:rPr>
              <w:t>分；</w:t>
            </w:r>
            <w:r>
              <w:rPr>
                <w:rFonts w:hint="eastAsia" w:ascii="宋体" w:hAnsi="宋体" w:eastAsia="新宋体" w:cs="宋体"/>
                <w:snapToGrid w:val="0"/>
                <w:color w:val="auto"/>
                <w:kern w:val="0"/>
                <w:szCs w:val="21"/>
                <w:highlight w:val="none"/>
                <w:lang w:eastAsia="zh-CN"/>
              </w:rPr>
              <w:t>须提供证明材料。</w:t>
            </w:r>
          </w:p>
        </w:tc>
      </w:tr>
      <w:tr w14:paraId="468C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1002" w:type="dxa"/>
            <w:vMerge w:val="continue"/>
            <w:noWrap w:val="0"/>
            <w:vAlign w:val="top"/>
          </w:tcPr>
          <w:p w14:paraId="4523A9F5">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32EE82E7">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top"/>
          </w:tcPr>
          <w:p w14:paraId="2EBE9123">
            <w:pPr>
              <w:keepNext w:val="0"/>
              <w:keepLines w:val="0"/>
              <w:suppressLineNumbers w:val="0"/>
              <w:snapToGrid w:val="0"/>
              <w:spacing w:before="0" w:beforeAutospacing="0" w:after="0" w:afterAutospacing="0"/>
              <w:ind w:left="0" w:right="0"/>
              <w:jc w:val="left"/>
              <w:rPr>
                <w:rFonts w:hint="eastAsia" w:ascii="宋体" w:hAnsi="宋体" w:cs="宋体"/>
                <w:color w:val="auto"/>
                <w:kern w:val="0"/>
                <w:szCs w:val="21"/>
                <w:highlight w:val="none"/>
                <w:lang w:bidi="ar"/>
              </w:rPr>
            </w:pPr>
          </w:p>
          <w:p w14:paraId="030677C1">
            <w:pPr>
              <w:keepNext w:val="0"/>
              <w:keepLines w:val="0"/>
              <w:suppressLineNumbers w:val="0"/>
              <w:snapToGrid w:val="0"/>
              <w:spacing w:before="0" w:beforeAutospacing="0" w:after="0" w:afterAutospacing="0"/>
              <w:ind w:left="0" w:right="0"/>
              <w:jc w:val="left"/>
              <w:rPr>
                <w:rFonts w:hint="eastAsia" w:ascii="宋体" w:hAnsi="宋体" w:cs="宋体"/>
                <w:color w:val="auto"/>
                <w:kern w:val="0"/>
                <w:szCs w:val="21"/>
                <w:highlight w:val="none"/>
                <w:lang w:bidi="ar"/>
              </w:rPr>
            </w:pPr>
          </w:p>
          <w:p w14:paraId="0D69D0BD">
            <w:pPr>
              <w:pStyle w:val="2"/>
              <w:keepNext w:val="0"/>
              <w:keepLines w:val="0"/>
              <w:suppressLineNumbers w:val="0"/>
              <w:spacing w:before="0" w:beforeAutospacing="0" w:afterAutospacing="0"/>
              <w:ind w:left="0" w:right="0"/>
              <w:rPr>
                <w:rFonts w:hint="eastAsia"/>
                <w:color w:val="auto"/>
                <w:highlight w:val="none"/>
              </w:rPr>
            </w:pPr>
          </w:p>
          <w:p w14:paraId="6EE3F873">
            <w:pPr>
              <w:keepNext w:val="0"/>
              <w:keepLines w:val="0"/>
              <w:suppressLineNumbers w:val="0"/>
              <w:snapToGrid w:val="0"/>
              <w:spacing w:before="0" w:beforeAutospacing="0" w:after="0" w:afterAutospacing="0"/>
              <w:ind w:left="0" w:right="0"/>
              <w:jc w:val="left"/>
              <w:rPr>
                <w:rFonts w:hint="default" w:ascii="宋体" w:hAnsi="Calibri" w:cs="宋体"/>
                <w:color w:val="auto"/>
                <w:kern w:val="0"/>
                <w:szCs w:val="21"/>
                <w:highlight w:val="none"/>
              </w:rPr>
            </w:pPr>
            <w:r>
              <w:rPr>
                <w:rFonts w:hint="eastAsia" w:ascii="宋体" w:hAnsi="宋体" w:cs="宋体"/>
                <w:color w:val="auto"/>
                <w:kern w:val="0"/>
                <w:szCs w:val="21"/>
                <w:highlight w:val="none"/>
                <w:lang w:eastAsia="zh-CN" w:bidi="ar"/>
              </w:rPr>
              <w:t>类似</w:t>
            </w:r>
            <w:r>
              <w:rPr>
                <w:rFonts w:hint="eastAsia" w:ascii="宋体" w:hAnsi="宋体" w:cs="宋体"/>
                <w:color w:val="auto"/>
                <w:kern w:val="0"/>
                <w:szCs w:val="21"/>
                <w:highlight w:val="none"/>
                <w:lang w:bidi="ar"/>
              </w:rPr>
              <w:t>业绩（</w:t>
            </w:r>
            <w:r>
              <w:rPr>
                <w:rFonts w:hint="eastAsia" w:ascii="宋体" w:hAnsi="宋体" w:cs="宋体"/>
                <w:color w:val="auto"/>
                <w:kern w:val="0"/>
                <w:szCs w:val="21"/>
                <w:highlight w:val="none"/>
                <w:lang w:val="en-US" w:eastAsia="zh-CN" w:bidi="ar"/>
              </w:rPr>
              <w:t>4</w:t>
            </w:r>
            <w:r>
              <w:rPr>
                <w:rFonts w:hint="eastAsia" w:ascii="宋体" w:hAnsi="宋体" w:cs="宋体"/>
                <w:color w:val="auto"/>
                <w:kern w:val="0"/>
                <w:szCs w:val="21"/>
                <w:highlight w:val="none"/>
                <w:lang w:bidi="ar"/>
              </w:rPr>
              <w:t>分）</w:t>
            </w:r>
          </w:p>
        </w:tc>
        <w:tc>
          <w:tcPr>
            <w:tcW w:w="6025" w:type="dxa"/>
            <w:gridSpan w:val="2"/>
            <w:noWrap w:val="0"/>
            <w:vAlign w:val="center"/>
          </w:tcPr>
          <w:p w14:paraId="12BDBE36">
            <w:pPr>
              <w:keepNext w:val="0"/>
              <w:keepLines w:val="0"/>
              <w:suppressLineNumbers w:val="0"/>
              <w:spacing w:before="0" w:beforeAutospacing="0" w:after="0" w:afterAutospacing="0" w:line="360" w:lineRule="auto"/>
              <w:ind w:left="0" w:right="0" w:firstLine="420" w:firstLineChars="200"/>
              <w:rPr>
                <w:rFonts w:hint="eastAsia" w:ascii="Times New Roman" w:hAnsi="Times New Roman"/>
                <w:highlight w:val="none"/>
              </w:rPr>
            </w:pPr>
            <w:r>
              <w:rPr>
                <w:rFonts w:hint="default" w:ascii="Times New Roman" w:hAnsi="Times New Roman"/>
                <w:highlight w:val="none"/>
              </w:rPr>
              <w:t>202</w:t>
            </w:r>
            <w:r>
              <w:rPr>
                <w:rFonts w:hint="eastAsia" w:ascii="Times New Roman" w:hAnsi="Times New Roman"/>
                <w:highlight w:val="none"/>
                <w:lang w:val="en-US" w:eastAsia="zh-CN"/>
              </w:rPr>
              <w:t>1</w:t>
            </w:r>
            <w:r>
              <w:rPr>
                <w:rFonts w:hint="eastAsia" w:ascii="Times New Roman" w:hAnsi="Times New Roman"/>
                <w:highlight w:val="none"/>
              </w:rPr>
              <w:t>年</w:t>
            </w:r>
            <w:r>
              <w:rPr>
                <w:rFonts w:hint="default" w:ascii="Times New Roman" w:hAnsi="Times New Roman"/>
                <w:highlight w:val="none"/>
              </w:rPr>
              <w:t>1</w:t>
            </w:r>
            <w:r>
              <w:rPr>
                <w:rFonts w:hint="eastAsia" w:ascii="Times New Roman" w:hAnsi="Times New Roman"/>
                <w:highlight w:val="none"/>
              </w:rPr>
              <w:t>月至</w:t>
            </w:r>
            <w:r>
              <w:rPr>
                <w:rFonts w:hint="default" w:ascii="Times New Roman" w:hAnsi="Times New Roman"/>
                <w:highlight w:val="none"/>
              </w:rPr>
              <w:t>202</w:t>
            </w:r>
            <w:r>
              <w:rPr>
                <w:rFonts w:hint="eastAsia" w:ascii="Times New Roman" w:hAnsi="Times New Roman"/>
                <w:highlight w:val="none"/>
                <w:lang w:val="en-US" w:eastAsia="zh-CN"/>
              </w:rPr>
              <w:t>2</w:t>
            </w:r>
            <w:r>
              <w:rPr>
                <w:rFonts w:hint="eastAsia" w:ascii="Times New Roman" w:hAnsi="Times New Roman"/>
                <w:highlight w:val="none"/>
              </w:rPr>
              <w:t>年</w:t>
            </w:r>
            <w:r>
              <w:rPr>
                <w:rFonts w:hint="default" w:ascii="Times New Roman" w:hAnsi="Times New Roman"/>
                <w:highlight w:val="none"/>
              </w:rPr>
              <w:t>12</w:t>
            </w:r>
            <w:r>
              <w:rPr>
                <w:rFonts w:hint="eastAsia" w:ascii="Times New Roman" w:hAnsi="Times New Roman"/>
                <w:highlight w:val="none"/>
              </w:rPr>
              <w:t>月，</w:t>
            </w:r>
            <w:r>
              <w:rPr>
                <w:rFonts w:hint="default" w:ascii="Times New Roman" w:hAnsi="Times New Roman"/>
                <w:highlight w:val="none"/>
              </w:rPr>
              <w:t>2</w:t>
            </w:r>
            <w:r>
              <w:rPr>
                <w:rFonts w:hint="eastAsia" w:ascii="Times New Roman" w:hAnsi="Times New Roman"/>
                <w:highlight w:val="none"/>
              </w:rPr>
              <w:t>年期间内，投标品牌向城市公交企业销售轮胎：累计销售轮胎数量达</w:t>
            </w:r>
            <w:r>
              <w:rPr>
                <w:rFonts w:hint="eastAsia" w:ascii="Times New Roman" w:hAnsi="Times New Roman"/>
                <w:highlight w:val="none"/>
                <w:lang w:val="en-US" w:eastAsia="zh-CN"/>
              </w:rPr>
              <w:t>1</w:t>
            </w:r>
            <w:r>
              <w:rPr>
                <w:rFonts w:hint="default" w:ascii="Times New Roman" w:hAnsi="Times New Roman"/>
                <w:highlight w:val="none"/>
              </w:rPr>
              <w:t>0000</w:t>
            </w:r>
            <w:r>
              <w:rPr>
                <w:rFonts w:hint="eastAsia" w:ascii="Times New Roman" w:hAnsi="Times New Roman"/>
                <w:highlight w:val="none"/>
              </w:rPr>
              <w:t>条</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1</w:t>
            </w:r>
            <w:r>
              <w:rPr>
                <w:rFonts w:hint="eastAsia" w:ascii="Times New Roman" w:hAnsi="Times New Roman"/>
                <w:highlight w:val="none"/>
              </w:rPr>
              <w:t>分</w:t>
            </w:r>
            <w:r>
              <w:rPr>
                <w:rFonts w:hint="eastAsia" w:ascii="Times New Roman" w:hAnsi="Times New Roman"/>
                <w:highlight w:val="none"/>
                <w:lang w:eastAsia="zh-CN"/>
              </w:rPr>
              <w:t>，</w:t>
            </w:r>
            <w:r>
              <w:rPr>
                <w:rFonts w:hint="eastAsia" w:ascii="Times New Roman" w:hAnsi="Times New Roman"/>
                <w:highlight w:val="none"/>
              </w:rPr>
              <w:t>累计销售轮胎数量达</w:t>
            </w:r>
            <w:r>
              <w:rPr>
                <w:rFonts w:hint="default" w:ascii="Times New Roman" w:hAnsi="Times New Roman"/>
                <w:highlight w:val="none"/>
              </w:rPr>
              <w:t>20000</w:t>
            </w:r>
            <w:r>
              <w:rPr>
                <w:rFonts w:hint="eastAsia" w:ascii="Times New Roman" w:hAnsi="Times New Roman"/>
                <w:highlight w:val="none"/>
              </w:rPr>
              <w:t>条</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2</w:t>
            </w:r>
            <w:r>
              <w:rPr>
                <w:rFonts w:hint="eastAsia" w:ascii="Times New Roman" w:hAnsi="Times New Roman"/>
                <w:highlight w:val="none"/>
              </w:rPr>
              <w:t>分；累计销售达</w:t>
            </w:r>
            <w:r>
              <w:rPr>
                <w:rFonts w:hint="default" w:ascii="Times New Roman" w:hAnsi="Times New Roman"/>
                <w:highlight w:val="none"/>
              </w:rPr>
              <w:t>30000</w:t>
            </w:r>
            <w:r>
              <w:rPr>
                <w:rFonts w:hint="eastAsia" w:ascii="Times New Roman" w:hAnsi="Times New Roman"/>
                <w:highlight w:val="none"/>
              </w:rPr>
              <w:t>条轮胎</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3</w:t>
            </w:r>
            <w:r>
              <w:rPr>
                <w:rFonts w:hint="eastAsia" w:ascii="Times New Roman" w:hAnsi="Times New Roman"/>
                <w:highlight w:val="none"/>
              </w:rPr>
              <w:t>分；累计销售达</w:t>
            </w:r>
            <w:r>
              <w:rPr>
                <w:rFonts w:hint="default" w:ascii="Times New Roman" w:hAnsi="Times New Roman"/>
                <w:highlight w:val="none"/>
              </w:rPr>
              <w:t>40000</w:t>
            </w:r>
            <w:r>
              <w:rPr>
                <w:rFonts w:hint="eastAsia" w:ascii="Times New Roman" w:hAnsi="Times New Roman"/>
                <w:highlight w:val="none"/>
              </w:rPr>
              <w:t>条轮胎</w:t>
            </w:r>
            <w:r>
              <w:rPr>
                <w:rFonts w:hint="eastAsia"/>
                <w:highlight w:val="none"/>
                <w:lang w:eastAsia="zh-CN"/>
              </w:rPr>
              <w:t>及以上</w:t>
            </w:r>
            <w:r>
              <w:rPr>
                <w:rFonts w:hint="eastAsia" w:ascii="Times New Roman" w:hAnsi="Times New Roman"/>
                <w:highlight w:val="none"/>
              </w:rPr>
              <w:t>，得</w:t>
            </w:r>
            <w:r>
              <w:rPr>
                <w:rFonts w:hint="eastAsia"/>
                <w:highlight w:val="none"/>
                <w:lang w:val="en-US" w:eastAsia="zh-CN"/>
              </w:rPr>
              <w:t>4</w:t>
            </w:r>
            <w:r>
              <w:rPr>
                <w:rFonts w:hint="eastAsia" w:ascii="Times New Roman" w:hAnsi="Times New Roman"/>
                <w:highlight w:val="none"/>
              </w:rPr>
              <w:t>分。</w:t>
            </w:r>
          </w:p>
          <w:p w14:paraId="464A4258">
            <w:pPr>
              <w:keepNext w:val="0"/>
              <w:keepLines w:val="0"/>
              <w:suppressLineNumbers w:val="0"/>
              <w:spacing w:before="0" w:beforeAutospacing="0" w:after="0" w:afterAutospacing="0" w:line="360" w:lineRule="auto"/>
              <w:ind w:left="0" w:right="0" w:firstLine="420" w:firstLineChars="200"/>
              <w:rPr>
                <w:rFonts w:hint="eastAsia" w:ascii="新宋体" w:hAnsi="新宋体" w:cs="新宋体"/>
                <w:b/>
                <w:bCs/>
                <w:color w:val="auto"/>
                <w:kern w:val="0"/>
                <w:szCs w:val="21"/>
                <w:highlight w:val="none"/>
              </w:rPr>
            </w:pPr>
            <w:r>
              <w:rPr>
                <w:rFonts w:hint="default" w:ascii="Times New Roman" w:hAnsi="Times New Roman"/>
                <w:highlight w:val="none"/>
              </w:rPr>
              <w:t>投标人须提供以上销售合同</w:t>
            </w:r>
            <w:r>
              <w:rPr>
                <w:rFonts w:hint="eastAsia" w:ascii="Times New Roman" w:hAnsi="Times New Roman"/>
                <w:highlight w:val="none"/>
              </w:rPr>
              <w:t>的</w:t>
            </w:r>
            <w:r>
              <w:rPr>
                <w:rFonts w:hint="default" w:ascii="Times New Roman" w:hAnsi="Times New Roman"/>
                <w:highlight w:val="none"/>
              </w:rPr>
              <w:t>原件（或经第三方公证部门公证后的有效复印件）评委会现场必查，未提供销售合同</w:t>
            </w:r>
            <w:r>
              <w:rPr>
                <w:rFonts w:hint="eastAsia" w:ascii="Times New Roman" w:hAnsi="Times New Roman"/>
                <w:highlight w:val="none"/>
              </w:rPr>
              <w:t>的</w:t>
            </w:r>
            <w:r>
              <w:rPr>
                <w:rFonts w:hint="default" w:ascii="Times New Roman" w:hAnsi="Times New Roman"/>
                <w:highlight w:val="none"/>
              </w:rPr>
              <w:t>原件（或经第三方公证部门公证后的有效复印件）的，该项不得分</w:t>
            </w:r>
            <w:r>
              <w:rPr>
                <w:rFonts w:hint="eastAsia" w:ascii="Times New Roman" w:hAnsi="Times New Roman"/>
                <w:highlight w:val="none"/>
              </w:rPr>
              <w:t>。</w:t>
            </w:r>
          </w:p>
        </w:tc>
      </w:tr>
      <w:tr w14:paraId="233A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002" w:type="dxa"/>
            <w:vMerge w:val="continue"/>
            <w:noWrap w:val="0"/>
            <w:vAlign w:val="top"/>
          </w:tcPr>
          <w:p w14:paraId="6F3C36D8">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65854C39">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7F45B232">
            <w:pPr>
              <w:keepNext w:val="0"/>
              <w:keepLines w:val="0"/>
              <w:widowControl/>
              <w:suppressLineNumbers w:val="0"/>
              <w:spacing w:before="0" w:beforeAutospacing="0" w:after="0" w:afterAutospacing="0"/>
              <w:ind w:left="0" w:right="0"/>
              <w:jc w:val="center"/>
              <w:rPr>
                <w:rFonts w:hint="default" w:ascii="宋体" w:hAnsi="Calibri" w:cs="宋体"/>
                <w:color w:val="auto"/>
                <w:kern w:val="0"/>
                <w:szCs w:val="21"/>
                <w:highlight w:val="none"/>
              </w:rPr>
            </w:pPr>
            <w:r>
              <w:rPr>
                <w:rFonts w:hint="eastAsia" w:ascii="宋体" w:hAnsi="宋体" w:cs="宋体"/>
                <w:kern w:val="0"/>
                <w:szCs w:val="21"/>
                <w:highlight w:val="none"/>
              </w:rPr>
              <w:t>投标产品生产企业研发能力</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val="en-US" w:eastAsia="zh-CN" w:bidi="ar"/>
              </w:rPr>
              <w:t>2</w:t>
            </w:r>
            <w:r>
              <w:rPr>
                <w:rFonts w:hint="eastAsia" w:ascii="宋体" w:hAnsi="宋体" w:cs="宋体"/>
                <w:color w:val="auto"/>
                <w:kern w:val="0"/>
                <w:szCs w:val="21"/>
                <w:highlight w:val="none"/>
                <w:lang w:bidi="ar"/>
              </w:rPr>
              <w:t>分）</w:t>
            </w:r>
          </w:p>
        </w:tc>
        <w:tc>
          <w:tcPr>
            <w:tcW w:w="6025" w:type="dxa"/>
            <w:gridSpan w:val="2"/>
            <w:noWrap w:val="0"/>
            <w:vAlign w:val="center"/>
          </w:tcPr>
          <w:p w14:paraId="71234E50">
            <w:pPr>
              <w:keepNext w:val="0"/>
              <w:keepLines w:val="0"/>
              <w:widowControl/>
              <w:suppressLineNumbers w:val="0"/>
              <w:spacing w:before="0" w:beforeAutospacing="0" w:after="0" w:afterAutospacing="0"/>
              <w:ind w:left="0" w:right="0"/>
              <w:jc w:val="left"/>
              <w:rPr>
                <w:rFonts w:hint="default" w:ascii="新宋体" w:hAnsi="新宋体" w:eastAsia="新宋体" w:cs="新宋体"/>
                <w:b/>
                <w:bCs/>
                <w:color w:val="auto"/>
                <w:kern w:val="0"/>
                <w:szCs w:val="21"/>
                <w:highlight w:val="none"/>
              </w:rPr>
            </w:pPr>
            <w:r>
              <w:rPr>
                <w:rFonts w:hint="eastAsia" w:ascii="宋体" w:hAnsi="宋体" w:cs="宋体"/>
                <w:kern w:val="0"/>
                <w:szCs w:val="21"/>
                <w:highlight w:val="none"/>
              </w:rPr>
              <w:t>建立有国家级实验室或研发中心得</w:t>
            </w:r>
            <w:r>
              <w:rPr>
                <w:rFonts w:hint="eastAsia" w:ascii="宋体" w:hAnsi="宋体" w:cs="宋体"/>
                <w:kern w:val="0"/>
                <w:szCs w:val="21"/>
                <w:highlight w:val="none"/>
                <w:lang w:val="en-US" w:eastAsia="zh-CN"/>
              </w:rPr>
              <w:t>2</w:t>
            </w:r>
            <w:r>
              <w:rPr>
                <w:rFonts w:hint="eastAsia" w:ascii="宋体" w:hAnsi="宋体" w:cs="宋体"/>
                <w:kern w:val="0"/>
                <w:szCs w:val="21"/>
                <w:highlight w:val="none"/>
              </w:rPr>
              <w:t>分，建立有省级实验室或研发中心得</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分，未建立得0分</w:t>
            </w:r>
          </w:p>
        </w:tc>
      </w:tr>
      <w:tr w14:paraId="7F5BE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1002" w:type="dxa"/>
            <w:vMerge w:val="continue"/>
            <w:noWrap w:val="0"/>
            <w:vAlign w:val="top"/>
          </w:tcPr>
          <w:p w14:paraId="4DFE215D">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59CB7576">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52FDA0F0">
            <w:pPr>
              <w:keepNext w:val="0"/>
              <w:keepLines w:val="0"/>
              <w:widowControl/>
              <w:suppressLineNumbers w:val="0"/>
              <w:spacing w:before="0" w:beforeAutospacing="0" w:after="0" w:afterAutospacing="0"/>
              <w:ind w:left="0" w:right="0"/>
              <w:jc w:val="center"/>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rPr>
              <w:t>投标产品质保期限里程（3分）</w:t>
            </w:r>
          </w:p>
        </w:tc>
        <w:tc>
          <w:tcPr>
            <w:tcW w:w="6025" w:type="dxa"/>
            <w:gridSpan w:val="2"/>
            <w:noWrap w:val="0"/>
            <w:vAlign w:val="center"/>
          </w:tcPr>
          <w:p w14:paraId="40025500">
            <w:pPr>
              <w:keepNext w:val="0"/>
              <w:keepLines w:val="0"/>
              <w:widowControl/>
              <w:suppressLineNumbers w:val="0"/>
              <w:spacing w:before="0" w:beforeAutospacing="0" w:after="0" w:afterAutospacing="0" w:line="360" w:lineRule="auto"/>
              <w:ind w:left="0" w:right="0"/>
              <w:jc w:val="left"/>
              <w:rPr>
                <w:rFonts w:hint="eastAsia" w:ascii="宋体" w:hAnsi="宋体" w:cs="宋体"/>
                <w:kern w:val="0"/>
                <w:sz w:val="21"/>
                <w:szCs w:val="21"/>
                <w:highlight w:val="none"/>
              </w:rPr>
            </w:pP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投标产品须保证36个月或12万公里的基础质保期要求，所有投标产品能在36个月或12万公里质保期基础上承诺延长质量保证期：延长3个月或1万公里得0.5分；延长6个月或2万公里得1分；延长9个月或3万公里得1.5分；延长12个月或4万公里得2分；延长15个月或5万公里得2.5分；延长18个月或6万公里得3分。（质保时间与里程在使用过程中以先到为准；所投产品未达到承诺质量保证期，投标人须承诺按不足承诺质量保证期所对应的产品价值进行等额赔付。）</w:t>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br w:type="textWrapping"/>
            </w:r>
            <w:r>
              <w:rPr>
                <w:rFonts w:hint="eastAsia" w:ascii="Calibri" w:hAnsi="Calibri" w:eastAsia="宋体" w:cs="Times New Roman"/>
                <w:color w:val="000000" w:themeColor="text1"/>
                <w:sz w:val="21"/>
                <w:szCs w:val="21"/>
                <w:highlight w:val="none"/>
                <w:lang w:val="en-US" w:eastAsia="zh-CN"/>
                <w14:textFill>
                  <w14:solidFill>
                    <w14:schemeClr w14:val="tx1"/>
                  </w14:solidFill>
                </w14:textFill>
              </w:rPr>
              <w:t xml:space="preserve">    </w:t>
            </w:r>
            <w:r>
              <w:rPr>
                <w:rFonts w:hint="eastAsia" w:ascii="Calibri" w:hAnsi="Calibri" w:eastAsia="宋体" w:cs="Times New Roman"/>
                <w:b/>
                <w:bCs/>
                <w:color w:val="000000" w:themeColor="text1"/>
                <w:sz w:val="21"/>
                <w:szCs w:val="21"/>
                <w:highlight w:val="none"/>
                <w:lang w:val="en-US" w:eastAsia="zh-CN"/>
                <w14:textFill>
                  <w14:solidFill>
                    <w14:schemeClr w14:val="tx1"/>
                  </w14:solidFill>
                </w14:textFill>
              </w:rPr>
              <w:t>注：投标人须按上述要求自行拟定《产品质量承诺方案》，提供承诺函原件，并加盖投标人鲜章。</w:t>
            </w:r>
          </w:p>
        </w:tc>
      </w:tr>
      <w:tr w14:paraId="6FE82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7" w:hRule="atLeast"/>
          <w:jc w:val="center"/>
        </w:trPr>
        <w:tc>
          <w:tcPr>
            <w:tcW w:w="1002" w:type="dxa"/>
            <w:vMerge w:val="continue"/>
            <w:noWrap w:val="0"/>
            <w:vAlign w:val="top"/>
          </w:tcPr>
          <w:p w14:paraId="35807A9D">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0DF924B3">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5947C707">
            <w:pPr>
              <w:keepNext w:val="0"/>
              <w:keepLines w:val="0"/>
              <w:suppressLineNumbers w:val="0"/>
              <w:snapToGrid w:val="0"/>
              <w:spacing w:before="0" w:beforeAutospacing="0" w:after="0" w:afterAutospacing="0"/>
              <w:ind w:left="0" w:right="0"/>
              <w:jc w:val="center"/>
              <w:rPr>
                <w:rFonts w:hint="eastAsia"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应急处置（</w:t>
            </w:r>
            <w:r>
              <w:rPr>
                <w:rFonts w:hint="eastAsia" w:ascii="宋体" w:hAnsi="宋体" w:cs="宋体"/>
                <w:color w:val="auto"/>
                <w:kern w:val="0"/>
                <w:sz w:val="21"/>
                <w:szCs w:val="21"/>
                <w:highlight w:val="none"/>
                <w:lang w:val="en-US" w:eastAsia="zh-CN" w:bidi="ar"/>
              </w:rPr>
              <w:t>2</w:t>
            </w:r>
            <w:r>
              <w:rPr>
                <w:rFonts w:hint="eastAsia" w:ascii="宋体" w:hAnsi="宋体" w:cs="宋体"/>
                <w:color w:val="auto"/>
                <w:kern w:val="0"/>
                <w:sz w:val="21"/>
                <w:szCs w:val="21"/>
                <w:highlight w:val="none"/>
                <w:lang w:eastAsia="zh-CN" w:bidi="ar"/>
              </w:rPr>
              <w:t>分）</w:t>
            </w:r>
          </w:p>
        </w:tc>
        <w:tc>
          <w:tcPr>
            <w:tcW w:w="6025" w:type="dxa"/>
            <w:gridSpan w:val="2"/>
            <w:noWrap w:val="0"/>
            <w:vAlign w:val="center"/>
          </w:tcPr>
          <w:p w14:paraId="15277628">
            <w:pPr>
              <w:pStyle w:val="2"/>
              <w:keepNext w:val="0"/>
              <w:keepLines w:val="0"/>
              <w:numPr>
                <w:ilvl w:val="0"/>
                <w:numId w:val="0"/>
              </w:numPr>
              <w:suppressLineNumbers w:val="0"/>
              <w:spacing w:before="0" w:beforeAutospacing="0" w:afterAutospacing="0"/>
              <w:ind w:left="0" w:right="0" w:firstLine="420" w:firstLineChars="200"/>
              <w:rPr>
                <w:rFonts w:hint="eastAsia"/>
                <w:sz w:val="21"/>
                <w:szCs w:val="21"/>
                <w:highlight w:val="none"/>
                <w:lang w:eastAsia="zh-CN"/>
              </w:rPr>
            </w:pPr>
            <w:r>
              <w:rPr>
                <w:rFonts w:hint="eastAsia"/>
                <w:sz w:val="21"/>
                <w:szCs w:val="21"/>
                <w:highlight w:val="none"/>
                <w:lang w:eastAsia="zh-CN"/>
              </w:rPr>
              <w:t>投标人提供的轮胎使用过程中，发生突发事件时的应急配送时间，</w:t>
            </w:r>
            <w:r>
              <w:rPr>
                <w:rFonts w:hint="eastAsia"/>
                <w:sz w:val="21"/>
                <w:szCs w:val="21"/>
                <w:highlight w:val="none"/>
                <w:lang w:val="en-US" w:eastAsia="zh-CN"/>
              </w:rPr>
              <w:t>24小时内完成配送的得2分</w:t>
            </w:r>
            <w:r>
              <w:rPr>
                <w:rFonts w:hint="eastAsia"/>
                <w:sz w:val="21"/>
                <w:szCs w:val="21"/>
                <w:highlight w:val="none"/>
                <w:lang w:eastAsia="zh-CN"/>
              </w:rPr>
              <w:t>，</w:t>
            </w:r>
            <w:r>
              <w:rPr>
                <w:rFonts w:hint="eastAsia"/>
                <w:sz w:val="21"/>
                <w:szCs w:val="21"/>
                <w:highlight w:val="none"/>
                <w:lang w:val="en-US" w:eastAsia="zh-CN"/>
              </w:rPr>
              <w:t>72小时内完成配送的得1分</w:t>
            </w:r>
            <w:r>
              <w:rPr>
                <w:rFonts w:hint="eastAsia"/>
                <w:sz w:val="21"/>
                <w:szCs w:val="21"/>
                <w:highlight w:val="none"/>
                <w:lang w:eastAsia="zh-CN"/>
              </w:rPr>
              <w:t>，超过</w:t>
            </w:r>
            <w:r>
              <w:rPr>
                <w:rFonts w:hint="eastAsia"/>
                <w:sz w:val="21"/>
                <w:szCs w:val="21"/>
                <w:highlight w:val="none"/>
                <w:lang w:val="en-US" w:eastAsia="zh-CN"/>
              </w:rPr>
              <w:t>72小时的得0分</w:t>
            </w:r>
            <w:r>
              <w:rPr>
                <w:rFonts w:hint="eastAsia"/>
                <w:sz w:val="21"/>
                <w:szCs w:val="21"/>
                <w:highlight w:val="none"/>
                <w:lang w:eastAsia="zh-CN"/>
              </w:rPr>
              <w:t>。</w:t>
            </w:r>
          </w:p>
        </w:tc>
      </w:tr>
      <w:tr w14:paraId="31AE2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2" w:hRule="atLeast"/>
          <w:jc w:val="center"/>
        </w:trPr>
        <w:tc>
          <w:tcPr>
            <w:tcW w:w="1002" w:type="dxa"/>
            <w:vMerge w:val="continue"/>
            <w:noWrap w:val="0"/>
            <w:vAlign w:val="top"/>
          </w:tcPr>
          <w:p w14:paraId="6282216B">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0DED3A03">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7CDE6060">
            <w:pPr>
              <w:keepNext w:val="0"/>
              <w:keepLines w:val="0"/>
              <w:suppressLineNumbers w:val="0"/>
              <w:snapToGrid w:val="0"/>
              <w:spacing w:before="0" w:beforeAutospacing="0" w:after="0" w:afterAutospacing="0" w:line="360" w:lineRule="auto"/>
              <w:ind w:left="0" w:right="0" w:firstLine="210" w:firstLineChars="100"/>
              <w:jc w:val="center"/>
              <w:rPr>
                <w:rFonts w:hint="default" w:ascii="宋体" w:hAnsi="Calibri" w:cs="宋体"/>
                <w:color w:val="auto"/>
                <w:kern w:val="0"/>
                <w:sz w:val="21"/>
                <w:szCs w:val="21"/>
                <w:highlight w:val="none"/>
              </w:rPr>
            </w:pPr>
            <w:r>
              <w:rPr>
                <w:rFonts w:hint="eastAsia" w:ascii="宋体" w:hAnsi="Calibri" w:cs="宋体"/>
                <w:color w:val="auto"/>
                <w:kern w:val="0"/>
                <w:sz w:val="21"/>
                <w:szCs w:val="21"/>
                <w:highlight w:val="none"/>
              </w:rPr>
              <w:t>投标产品质量赔偿</w:t>
            </w: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5</w:t>
            </w:r>
            <w:r>
              <w:rPr>
                <w:rFonts w:hint="eastAsia" w:ascii="宋体" w:hAnsi="宋体" w:cs="宋体"/>
                <w:color w:val="auto"/>
                <w:kern w:val="0"/>
                <w:sz w:val="21"/>
                <w:szCs w:val="21"/>
                <w:highlight w:val="none"/>
                <w:lang w:eastAsia="zh-CN" w:bidi="ar"/>
              </w:rPr>
              <w:t>分）</w:t>
            </w:r>
          </w:p>
        </w:tc>
        <w:tc>
          <w:tcPr>
            <w:tcW w:w="6025" w:type="dxa"/>
            <w:gridSpan w:val="2"/>
            <w:noWrap w:val="0"/>
            <w:vAlign w:val="center"/>
          </w:tcPr>
          <w:p w14:paraId="36436C03">
            <w:pPr>
              <w:pStyle w:val="2"/>
              <w:keepNext w:val="0"/>
              <w:keepLines w:val="0"/>
              <w:numPr>
                <w:ilvl w:val="0"/>
                <w:numId w:val="0"/>
              </w:numPr>
              <w:suppressLineNumbers w:val="0"/>
              <w:spacing w:before="0" w:beforeAutospacing="0" w:afterAutospacing="0" w:line="360" w:lineRule="auto"/>
              <w:ind w:left="0" w:right="0" w:firstLine="420" w:firstLineChars="200"/>
              <w:rPr>
                <w:rFonts w:hint="eastAsia"/>
                <w:sz w:val="21"/>
                <w:szCs w:val="21"/>
                <w:highlight w:val="none"/>
                <w:lang w:val="en-US" w:eastAsia="zh-CN"/>
              </w:rPr>
            </w:pPr>
            <w:r>
              <w:rPr>
                <w:rFonts w:hint="eastAsia"/>
                <w:sz w:val="21"/>
                <w:szCs w:val="21"/>
                <w:highlight w:val="none"/>
                <w:lang w:val="en-US" w:eastAsia="zh-CN"/>
              </w:rPr>
              <w:t>1、产品在使用质保期限内出现质量问题，是否承担直接损失和其他损失的赔偿：接受直接损失赔偿和其他损失赔偿，得3分；接受直接损失赔偿，不接受其他损失赔偿，得2分；不接受直接损失赔偿和其他损失赔偿，得0分。</w:t>
            </w:r>
          </w:p>
          <w:p w14:paraId="4663849C">
            <w:pPr>
              <w:pStyle w:val="2"/>
              <w:keepNext w:val="0"/>
              <w:keepLines w:val="0"/>
              <w:numPr>
                <w:ilvl w:val="0"/>
                <w:numId w:val="0"/>
              </w:numPr>
              <w:suppressLineNumbers w:val="0"/>
              <w:spacing w:before="0" w:beforeAutospacing="0" w:afterAutospacing="0" w:line="360" w:lineRule="auto"/>
              <w:ind w:left="0" w:right="0" w:firstLine="420" w:firstLineChars="200"/>
              <w:rPr>
                <w:rFonts w:hint="default"/>
                <w:sz w:val="21"/>
                <w:szCs w:val="21"/>
                <w:highlight w:val="none"/>
                <w:lang w:val="en-US" w:eastAsia="zh-CN"/>
              </w:rPr>
            </w:pPr>
            <w:r>
              <w:rPr>
                <w:rFonts w:hint="eastAsia"/>
                <w:sz w:val="21"/>
                <w:szCs w:val="21"/>
                <w:highlight w:val="none"/>
                <w:lang w:val="en-US" w:eastAsia="zh-CN"/>
              </w:rPr>
              <w:t>2、产品质保期到期后，出现质量问题有无优惠赔付条款：有优惠赔付条款，得2分；无优惠赔付条款，得0分。</w:t>
            </w:r>
          </w:p>
        </w:tc>
      </w:tr>
      <w:tr w14:paraId="018D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8" w:hRule="atLeast"/>
          <w:jc w:val="center"/>
        </w:trPr>
        <w:tc>
          <w:tcPr>
            <w:tcW w:w="1002" w:type="dxa"/>
            <w:vMerge w:val="continue"/>
            <w:noWrap w:val="0"/>
            <w:vAlign w:val="top"/>
          </w:tcPr>
          <w:p w14:paraId="2450180C">
            <w:pPr>
              <w:keepNext w:val="0"/>
              <w:keepLines w:val="0"/>
              <w:suppressLineNumbers w:val="0"/>
              <w:spacing w:before="0" w:beforeAutospacing="0" w:after="0" w:afterAutospacing="0" w:line="440" w:lineRule="exact"/>
              <w:ind w:left="0" w:right="0"/>
              <w:rPr>
                <w:rFonts w:hint="eastAsia" w:ascii="宋体" w:hAnsi="宋体" w:cs="宋体"/>
                <w:snapToGrid w:val="0"/>
                <w:color w:val="auto"/>
                <w:kern w:val="0"/>
                <w:szCs w:val="21"/>
                <w:highlight w:val="none"/>
              </w:rPr>
            </w:pPr>
          </w:p>
        </w:tc>
        <w:tc>
          <w:tcPr>
            <w:tcW w:w="1292" w:type="dxa"/>
            <w:vMerge w:val="continue"/>
            <w:noWrap w:val="0"/>
            <w:vAlign w:val="top"/>
          </w:tcPr>
          <w:p w14:paraId="30947853">
            <w:pPr>
              <w:keepNext w:val="0"/>
              <w:keepLines w:val="0"/>
              <w:suppressLineNumbers w:val="0"/>
              <w:snapToGrid w:val="0"/>
              <w:spacing w:before="0" w:beforeAutospacing="0" w:after="0" w:afterAutospacing="0"/>
              <w:ind w:left="0" w:right="0"/>
              <w:jc w:val="left"/>
              <w:rPr>
                <w:rFonts w:hint="eastAsia" w:ascii="宋体" w:hAnsi="Calibri" w:cs="宋体"/>
                <w:color w:val="auto"/>
                <w:kern w:val="0"/>
                <w:szCs w:val="21"/>
                <w:highlight w:val="none"/>
              </w:rPr>
            </w:pPr>
          </w:p>
        </w:tc>
        <w:tc>
          <w:tcPr>
            <w:tcW w:w="1697" w:type="dxa"/>
            <w:gridSpan w:val="2"/>
            <w:noWrap w:val="0"/>
            <w:vAlign w:val="center"/>
          </w:tcPr>
          <w:p w14:paraId="23605D0E">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rPr>
              <w:t>能否接受报废后废旧轮胎及外包装的回收</w:t>
            </w:r>
            <w:r>
              <w:rPr>
                <w:rFonts w:hint="eastAsia" w:ascii="宋体" w:hAnsi="宋体" w:cs="宋体"/>
                <w:snapToGrid w:val="0"/>
                <w:color w:val="auto"/>
                <w:kern w:val="0"/>
                <w:sz w:val="21"/>
                <w:szCs w:val="21"/>
                <w:highlight w:val="none"/>
                <w:lang w:eastAsia="zh-CN"/>
              </w:rPr>
              <w:t>（</w:t>
            </w:r>
            <w:r>
              <w:rPr>
                <w:rFonts w:hint="eastAsia" w:ascii="宋体" w:hAnsi="宋体" w:cs="宋体"/>
                <w:snapToGrid w:val="0"/>
                <w:color w:val="auto"/>
                <w:kern w:val="0"/>
                <w:sz w:val="21"/>
                <w:szCs w:val="21"/>
                <w:highlight w:val="none"/>
                <w:lang w:val="en-US" w:eastAsia="zh-CN"/>
              </w:rPr>
              <w:t>2分）</w:t>
            </w:r>
          </w:p>
          <w:p w14:paraId="09FC19D1">
            <w:pPr>
              <w:keepNext w:val="0"/>
              <w:keepLines w:val="0"/>
              <w:suppressLineNumbers w:val="0"/>
              <w:snapToGrid w:val="0"/>
              <w:spacing w:before="0" w:beforeAutospacing="0" w:after="0" w:afterAutospacing="0" w:line="360" w:lineRule="auto"/>
              <w:ind w:left="0" w:right="0"/>
              <w:jc w:val="left"/>
              <w:rPr>
                <w:rFonts w:hint="eastAsia" w:ascii="宋体" w:hAnsi="宋体" w:cs="宋体"/>
                <w:snapToGrid w:val="0"/>
                <w:color w:val="auto"/>
                <w:kern w:val="0"/>
                <w:sz w:val="21"/>
                <w:szCs w:val="21"/>
                <w:highlight w:val="none"/>
              </w:rPr>
            </w:pPr>
          </w:p>
        </w:tc>
        <w:tc>
          <w:tcPr>
            <w:tcW w:w="6025" w:type="dxa"/>
            <w:gridSpan w:val="2"/>
            <w:noWrap w:val="0"/>
            <w:vAlign w:val="center"/>
          </w:tcPr>
          <w:p w14:paraId="65D20A98">
            <w:pPr>
              <w:keepNext w:val="0"/>
              <w:keepLines w:val="0"/>
              <w:numPr>
                <w:ilvl w:val="0"/>
                <w:numId w:val="0"/>
              </w:numPr>
              <w:suppressLineNumbers w:val="0"/>
              <w:snapToGrid w:val="0"/>
              <w:spacing w:before="0" w:beforeAutospacing="0" w:after="0" w:afterAutospacing="0" w:line="360" w:lineRule="auto"/>
              <w:ind w:left="0" w:right="0" w:firstLine="420" w:firstLineChars="200"/>
              <w:rPr>
                <w:rFonts w:hint="eastAsia" w:ascii="Times New Roman" w:hAnsi="Times New Roman" w:eastAsia="宋体" w:cs="Times New Roman"/>
                <w:kern w:val="0"/>
                <w:sz w:val="21"/>
                <w:szCs w:val="21"/>
                <w:highlight w:val="none"/>
                <w:lang w:val="en-US" w:eastAsia="zh-CN" w:bidi="ar-SA"/>
              </w:rPr>
            </w:pPr>
            <w:r>
              <w:rPr>
                <w:rFonts w:hint="eastAsia" w:ascii="Times New Roman" w:hAnsi="Times New Roman" w:eastAsia="宋体" w:cs="Times New Roman"/>
                <w:kern w:val="0"/>
                <w:sz w:val="21"/>
                <w:szCs w:val="21"/>
                <w:highlight w:val="none"/>
                <w:lang w:val="en-US" w:eastAsia="zh-CN" w:bidi="ar-SA"/>
              </w:rPr>
              <w:t>接受回收并退还残值费高的，得2分；接受回收并退还残值费低的，得1分；不接受回收，得0分。</w:t>
            </w:r>
          </w:p>
          <w:p w14:paraId="61EC2D31">
            <w:pPr>
              <w:keepNext w:val="0"/>
              <w:keepLines w:val="0"/>
              <w:suppressLineNumbers w:val="0"/>
              <w:snapToGrid w:val="0"/>
              <w:spacing w:before="0" w:beforeAutospacing="0" w:after="0" w:afterAutospacing="0"/>
              <w:ind w:left="0" w:right="0" w:firstLine="210" w:firstLineChars="100"/>
              <w:jc w:val="left"/>
              <w:rPr>
                <w:rFonts w:hint="eastAsia" w:ascii="宋体" w:hAnsi="宋体" w:cs="宋体"/>
                <w:snapToGrid w:val="0"/>
                <w:color w:val="auto"/>
                <w:kern w:val="0"/>
                <w:sz w:val="21"/>
                <w:szCs w:val="21"/>
                <w:highlight w:val="none"/>
              </w:rPr>
            </w:pPr>
          </w:p>
        </w:tc>
      </w:tr>
      <w:tr w14:paraId="7148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002" w:type="dxa"/>
            <w:vMerge w:val="restart"/>
            <w:noWrap w:val="0"/>
            <w:vAlign w:val="center"/>
          </w:tcPr>
          <w:p w14:paraId="167257D9">
            <w:pPr>
              <w:keepNext w:val="0"/>
              <w:keepLines w:val="0"/>
              <w:suppressLineNumbers w:val="0"/>
              <w:spacing w:before="0" w:beforeAutospacing="0" w:after="0" w:afterAutospacing="0"/>
              <w:ind w:left="0" w:right="0"/>
              <w:jc w:val="center"/>
              <w:rPr>
                <w:rFonts w:hint="eastAsia"/>
                <w:color w:val="auto"/>
                <w:highlight w:val="none"/>
              </w:rPr>
            </w:pPr>
          </w:p>
          <w:p w14:paraId="376C9BD8">
            <w:pPr>
              <w:keepNext w:val="0"/>
              <w:keepLines w:val="0"/>
              <w:suppressLineNumbers w:val="0"/>
              <w:spacing w:before="0" w:beforeAutospacing="0" w:after="0" w:afterAutospacing="0"/>
              <w:ind w:left="0" w:right="0"/>
              <w:jc w:val="center"/>
              <w:rPr>
                <w:rFonts w:hint="eastAsia"/>
                <w:color w:val="auto"/>
                <w:highlight w:val="none"/>
              </w:rPr>
            </w:pPr>
          </w:p>
          <w:p w14:paraId="6C46A020">
            <w:pPr>
              <w:keepNext w:val="0"/>
              <w:keepLines w:val="0"/>
              <w:suppressLineNumbers w:val="0"/>
              <w:spacing w:before="0" w:beforeAutospacing="0" w:after="0" w:afterAutospacing="0"/>
              <w:ind w:left="0" w:right="0"/>
              <w:jc w:val="center"/>
              <w:rPr>
                <w:rFonts w:hint="eastAsia"/>
                <w:color w:val="auto"/>
                <w:highlight w:val="none"/>
              </w:rPr>
            </w:pPr>
          </w:p>
          <w:p w14:paraId="5809428B">
            <w:pPr>
              <w:pStyle w:val="2"/>
              <w:keepNext w:val="0"/>
              <w:keepLines w:val="0"/>
              <w:suppressLineNumbers w:val="0"/>
              <w:spacing w:before="0" w:beforeAutospacing="0" w:afterAutospacing="0"/>
              <w:ind w:left="0" w:right="0"/>
              <w:rPr>
                <w:rFonts w:hint="eastAsia"/>
                <w:color w:val="auto"/>
                <w:highlight w:val="none"/>
              </w:rPr>
            </w:pPr>
          </w:p>
          <w:p w14:paraId="41A8DDE1">
            <w:pPr>
              <w:keepNext w:val="0"/>
              <w:keepLines w:val="0"/>
              <w:suppressLineNumbers w:val="0"/>
              <w:spacing w:before="0" w:beforeAutospacing="0" w:after="0" w:afterAutospacing="0"/>
              <w:ind w:left="0" w:right="0"/>
              <w:rPr>
                <w:rFonts w:hint="eastAsia"/>
                <w:color w:val="auto"/>
                <w:highlight w:val="none"/>
              </w:rPr>
            </w:pPr>
          </w:p>
          <w:p w14:paraId="03E3692C">
            <w:pPr>
              <w:pStyle w:val="2"/>
              <w:keepNext w:val="0"/>
              <w:keepLines w:val="0"/>
              <w:suppressLineNumbers w:val="0"/>
              <w:spacing w:before="0" w:beforeAutospacing="0" w:afterAutospacing="0"/>
              <w:ind w:left="0" w:right="0"/>
              <w:rPr>
                <w:rFonts w:hint="eastAsia"/>
                <w:color w:val="auto"/>
                <w:highlight w:val="none"/>
              </w:rPr>
            </w:pPr>
          </w:p>
          <w:p w14:paraId="3DCB195F">
            <w:pPr>
              <w:keepNext w:val="0"/>
              <w:keepLines w:val="0"/>
              <w:suppressLineNumbers w:val="0"/>
              <w:spacing w:before="0" w:beforeAutospacing="0" w:after="0" w:afterAutospacing="0"/>
              <w:ind w:left="0" w:right="0"/>
              <w:rPr>
                <w:rFonts w:hint="eastAsia"/>
                <w:highlight w:val="none"/>
              </w:rPr>
            </w:pPr>
          </w:p>
          <w:p w14:paraId="58A84F64">
            <w:pPr>
              <w:keepNext w:val="0"/>
              <w:keepLines w:val="0"/>
              <w:suppressLineNumbers w:val="0"/>
              <w:spacing w:before="0" w:beforeAutospacing="0" w:after="0" w:afterAutospacing="0" w:line="440" w:lineRule="exact"/>
              <w:ind w:left="210" w:leftChars="0" w:right="0" w:hanging="210" w:hangingChars="100"/>
              <w:jc w:val="center"/>
              <w:rPr>
                <w:rFonts w:hint="eastAsia" w:ascii="宋体" w:hAnsi="宋体" w:cs="宋体"/>
                <w:b/>
                <w:bCs/>
                <w:color w:val="auto"/>
                <w:szCs w:val="21"/>
                <w:highlight w:val="none"/>
              </w:rPr>
            </w:pPr>
            <w:r>
              <w:rPr>
                <w:rFonts w:hint="eastAsia" w:ascii="宋体" w:hAnsi="宋体" w:cs="宋体"/>
                <w:snapToGrid w:val="0"/>
                <w:color w:val="auto"/>
                <w:kern w:val="0"/>
                <w:szCs w:val="21"/>
                <w:highlight w:val="none"/>
              </w:rPr>
              <w:t>2.2.4 (</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w:t>
            </w:r>
          </w:p>
        </w:tc>
        <w:tc>
          <w:tcPr>
            <w:tcW w:w="1292" w:type="dxa"/>
            <w:vMerge w:val="restart"/>
            <w:noWrap w:val="0"/>
            <w:vAlign w:val="center"/>
          </w:tcPr>
          <w:p w14:paraId="26549173">
            <w:pPr>
              <w:pStyle w:val="2"/>
              <w:keepNext w:val="0"/>
              <w:keepLines w:val="0"/>
              <w:suppressLineNumbers w:val="0"/>
              <w:spacing w:before="0" w:beforeAutospacing="0" w:afterAutospacing="0"/>
              <w:ind w:left="0" w:right="0"/>
              <w:jc w:val="center"/>
              <w:rPr>
                <w:rFonts w:hint="eastAsia" w:ascii="宋体" w:hAnsi="宋体" w:cs="宋体"/>
                <w:snapToGrid w:val="0"/>
                <w:color w:val="auto"/>
                <w:kern w:val="0"/>
                <w:szCs w:val="21"/>
                <w:highlight w:val="none"/>
              </w:rPr>
            </w:pPr>
          </w:p>
          <w:p w14:paraId="0E46DCFF">
            <w:pPr>
              <w:keepNext w:val="0"/>
              <w:keepLines w:val="0"/>
              <w:suppressLineNumbers w:val="0"/>
              <w:spacing w:before="0" w:beforeAutospacing="0" w:after="0" w:afterAutospacing="0"/>
              <w:ind w:left="0" w:right="0"/>
              <w:jc w:val="center"/>
              <w:rPr>
                <w:rFonts w:hint="eastAsia" w:ascii="宋体" w:hAnsi="宋体" w:cs="宋体"/>
                <w:snapToGrid w:val="0"/>
                <w:color w:val="auto"/>
                <w:kern w:val="0"/>
                <w:szCs w:val="21"/>
                <w:highlight w:val="none"/>
              </w:rPr>
            </w:pPr>
          </w:p>
          <w:p w14:paraId="5F214F25">
            <w:pPr>
              <w:pStyle w:val="2"/>
              <w:keepNext w:val="0"/>
              <w:keepLines w:val="0"/>
              <w:suppressLineNumbers w:val="0"/>
              <w:spacing w:before="0" w:beforeAutospacing="0" w:afterAutospacing="0"/>
              <w:ind w:left="0" w:right="0"/>
              <w:jc w:val="center"/>
              <w:rPr>
                <w:rFonts w:hint="eastAsia"/>
                <w:color w:val="auto"/>
                <w:highlight w:val="none"/>
              </w:rPr>
            </w:pPr>
          </w:p>
          <w:p w14:paraId="220E1D99">
            <w:pPr>
              <w:keepNext w:val="0"/>
              <w:keepLines w:val="0"/>
              <w:suppressLineNumbers w:val="0"/>
              <w:spacing w:before="0" w:beforeAutospacing="0" w:after="0" w:afterAutospacing="0"/>
              <w:ind w:left="0" w:right="0"/>
              <w:jc w:val="center"/>
              <w:rPr>
                <w:rFonts w:hint="eastAsia"/>
                <w:color w:val="auto"/>
                <w:highlight w:val="none"/>
              </w:rPr>
            </w:pPr>
          </w:p>
          <w:p w14:paraId="290DACEF">
            <w:pPr>
              <w:pStyle w:val="2"/>
              <w:keepNext w:val="0"/>
              <w:keepLines w:val="0"/>
              <w:suppressLineNumbers w:val="0"/>
              <w:spacing w:before="0" w:beforeAutospacing="0" w:afterAutospacing="0"/>
              <w:ind w:left="0" w:right="0"/>
              <w:rPr>
                <w:rFonts w:hint="eastAsia"/>
                <w:highlight w:val="none"/>
              </w:rPr>
            </w:pPr>
          </w:p>
          <w:p w14:paraId="771BA835">
            <w:pPr>
              <w:keepNext w:val="0"/>
              <w:keepLines w:val="0"/>
              <w:suppressLineNumbers w:val="0"/>
              <w:snapToGrid w:val="0"/>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snapToGrid w:val="0"/>
                <w:color w:val="auto"/>
                <w:kern w:val="0"/>
                <w:szCs w:val="21"/>
                <w:highlight w:val="none"/>
                <w:lang w:eastAsia="zh-CN"/>
              </w:rPr>
              <w:t>技术</w:t>
            </w:r>
            <w:r>
              <w:rPr>
                <w:rFonts w:hint="eastAsia" w:ascii="宋体" w:hAnsi="宋体" w:cs="宋体"/>
                <w:snapToGrid w:val="0"/>
                <w:color w:val="auto"/>
                <w:kern w:val="0"/>
                <w:szCs w:val="21"/>
                <w:highlight w:val="none"/>
              </w:rPr>
              <w:t>部分    （</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0分）</w:t>
            </w:r>
          </w:p>
        </w:tc>
        <w:tc>
          <w:tcPr>
            <w:tcW w:w="1697" w:type="dxa"/>
            <w:gridSpan w:val="2"/>
            <w:noWrap w:val="0"/>
            <w:vAlign w:val="center"/>
          </w:tcPr>
          <w:p w14:paraId="69088413">
            <w:pPr>
              <w:keepNext w:val="0"/>
              <w:keepLines w:val="0"/>
              <w:suppressLineNumbers w:val="0"/>
              <w:snapToGrid w:val="0"/>
              <w:spacing w:before="0" w:beforeAutospacing="0" w:after="0" w:afterAutospacing="0" w:line="360" w:lineRule="auto"/>
              <w:ind w:left="0" w:right="0"/>
              <w:jc w:val="center"/>
              <w:rPr>
                <w:rFonts w:hint="eastAsia" w:ascii="Calibri" w:hAnsi="Calibri" w:cs="Times New Roman"/>
                <w:color w:val="000000" w:themeColor="text1"/>
                <w:sz w:val="21"/>
                <w:szCs w:val="21"/>
                <w:highlight w:val="none"/>
                <w:lang w:val="en-US" w:eastAsia="zh-CN"/>
                <w14:textFill>
                  <w14:solidFill>
                    <w14:schemeClr w14:val="tx1"/>
                  </w14:solidFill>
                </w14:textFill>
              </w:rPr>
            </w:pPr>
          </w:p>
          <w:p w14:paraId="668135EF">
            <w:pPr>
              <w:keepNext w:val="0"/>
              <w:keepLines w:val="0"/>
              <w:suppressLineNumbers w:val="0"/>
              <w:snapToGrid w:val="0"/>
              <w:spacing w:before="0" w:beforeAutospacing="0" w:after="0" w:afterAutospacing="0" w:line="360" w:lineRule="auto"/>
              <w:ind w:left="0" w:right="0"/>
              <w:jc w:val="center"/>
              <w:rPr>
                <w:rFonts w:hint="eastAsia" w:ascii="Calibri" w:hAnsi="Calibri" w:cs="Times New Roman"/>
                <w:color w:val="000000" w:themeColor="text1"/>
                <w:sz w:val="21"/>
                <w:szCs w:val="21"/>
                <w:highlight w:val="none"/>
                <w:lang w:val="en-US" w:eastAsia="zh-CN"/>
                <w14:textFill>
                  <w14:solidFill>
                    <w14:schemeClr w14:val="tx1"/>
                  </w14:solidFill>
                </w14:textFill>
              </w:rPr>
            </w:pPr>
          </w:p>
          <w:p w14:paraId="0B6BCF10">
            <w:pPr>
              <w:keepNext w:val="0"/>
              <w:keepLines w:val="0"/>
              <w:suppressLineNumbers w:val="0"/>
              <w:snapToGrid w:val="0"/>
              <w:spacing w:before="0" w:beforeAutospacing="0" w:after="0" w:afterAutospacing="0" w:line="360" w:lineRule="auto"/>
              <w:ind w:left="0" w:right="0"/>
              <w:jc w:val="center"/>
              <w:rPr>
                <w:rFonts w:hint="default" w:ascii="宋体" w:hAnsi="宋体" w:cs="宋体"/>
                <w:b/>
                <w:bCs/>
                <w:color w:val="auto"/>
                <w:sz w:val="21"/>
                <w:szCs w:val="21"/>
                <w:highlight w:val="none"/>
                <w:lang w:val="en-US"/>
              </w:rPr>
            </w:pPr>
            <w:r>
              <w:rPr>
                <w:rFonts w:hint="eastAsia" w:ascii="Calibri" w:hAnsi="Calibri" w:cs="Times New Roman"/>
                <w:color w:val="000000" w:themeColor="text1"/>
                <w:sz w:val="21"/>
                <w:szCs w:val="21"/>
                <w:highlight w:val="none"/>
                <w:lang w:val="en-US" w:eastAsia="zh-CN"/>
                <w14:textFill>
                  <w14:solidFill>
                    <w14:schemeClr w14:val="tx1"/>
                  </w14:solidFill>
                </w14:textFill>
              </w:rPr>
              <w:t>售后服务方案（3分）</w:t>
            </w:r>
          </w:p>
        </w:tc>
        <w:tc>
          <w:tcPr>
            <w:tcW w:w="6025" w:type="dxa"/>
            <w:gridSpan w:val="2"/>
            <w:noWrap w:val="0"/>
            <w:vAlign w:val="top"/>
          </w:tcPr>
          <w:p w14:paraId="72242C8C">
            <w:pPr>
              <w:keepNext w:val="0"/>
              <w:keepLines w:val="0"/>
              <w:numPr>
                <w:ilvl w:val="0"/>
                <w:numId w:val="0"/>
              </w:numPr>
              <w:suppressLineNumbers w:val="0"/>
              <w:snapToGrid w:val="0"/>
              <w:spacing w:before="0" w:beforeAutospacing="0" w:after="0" w:afterAutospacing="0" w:line="360" w:lineRule="auto"/>
              <w:ind w:left="0" w:right="0" w:firstLine="420" w:firstLineChars="200"/>
              <w:rPr>
                <w:rFonts w:hint="eastAsia" w:ascii="宋体" w:hAnsi="宋体" w:cs="宋体"/>
                <w:color w:val="auto"/>
                <w:kern w:val="0"/>
                <w:sz w:val="21"/>
                <w:szCs w:val="21"/>
                <w:highlight w:val="none"/>
                <w:lang w:eastAsia="zh-CN" w:bidi="ar"/>
              </w:rPr>
            </w:pPr>
            <w:r>
              <w:rPr>
                <w:rFonts w:hint="eastAsia" w:ascii="Times New Roman" w:hAnsi="Times New Roman" w:eastAsia="宋体" w:cs="Times New Roman"/>
                <w:kern w:val="0"/>
                <w:sz w:val="21"/>
                <w:szCs w:val="21"/>
                <w:highlight w:val="none"/>
                <w:lang w:val="en-US" w:eastAsia="zh-CN" w:bidi="ar-SA"/>
              </w:rPr>
              <w:t>投标人提供轮胎售后服务方案（应包括但不限于：质保方案、培训方案、常见问题处理办法、轮胎理赔等），经评标委员会综合评定得分，优的得 3分，评价良好的得2 分，评价一般的得1 分，评价差的得0 分</w:t>
            </w:r>
            <w:r>
              <w:rPr>
                <w:rFonts w:hint="eastAsia" w:ascii="宋体" w:hAnsi="宋体" w:cs="宋体"/>
                <w:color w:val="auto"/>
                <w:kern w:val="0"/>
                <w:sz w:val="21"/>
                <w:szCs w:val="21"/>
                <w:highlight w:val="none"/>
                <w:lang w:eastAsia="zh-CN" w:bidi="ar"/>
              </w:rPr>
              <w:t>。</w:t>
            </w:r>
          </w:p>
          <w:p w14:paraId="10E17E61">
            <w:pPr>
              <w:keepNext w:val="0"/>
              <w:keepLines w:val="0"/>
              <w:suppressLineNumbers w:val="0"/>
              <w:snapToGrid w:val="0"/>
              <w:spacing w:before="0" w:beforeAutospacing="0" w:after="0" w:afterAutospacing="0"/>
              <w:ind w:left="0" w:right="0"/>
              <w:jc w:val="left"/>
              <w:rPr>
                <w:rFonts w:hint="eastAsia" w:ascii="宋体" w:hAnsi="宋体" w:cs="宋体"/>
                <w:b/>
                <w:bCs/>
                <w:snapToGrid w:val="0"/>
                <w:color w:val="auto"/>
                <w:kern w:val="0"/>
                <w:sz w:val="21"/>
                <w:szCs w:val="21"/>
                <w:highlight w:val="none"/>
              </w:rPr>
            </w:pPr>
          </w:p>
        </w:tc>
      </w:tr>
      <w:tr w14:paraId="5520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02" w:type="dxa"/>
            <w:vMerge w:val="continue"/>
            <w:noWrap w:val="0"/>
            <w:vAlign w:val="top"/>
          </w:tcPr>
          <w:p w14:paraId="698D932E">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292" w:type="dxa"/>
            <w:vMerge w:val="continue"/>
            <w:noWrap w:val="0"/>
            <w:vAlign w:val="center"/>
          </w:tcPr>
          <w:p w14:paraId="4A251A9C">
            <w:pPr>
              <w:keepNext w:val="0"/>
              <w:keepLines w:val="0"/>
              <w:suppressLineNumbers w:val="0"/>
              <w:spacing w:before="0" w:beforeAutospacing="0" w:after="0" w:afterAutospacing="0" w:line="440" w:lineRule="exact"/>
              <w:ind w:left="211" w:leftChars="0" w:right="0" w:hanging="211" w:hangingChars="100"/>
              <w:jc w:val="center"/>
              <w:rPr>
                <w:rFonts w:hint="eastAsia" w:ascii="宋体" w:hAnsi="宋体" w:cs="宋体"/>
                <w:b/>
                <w:bCs/>
                <w:color w:val="auto"/>
                <w:szCs w:val="21"/>
                <w:highlight w:val="none"/>
              </w:rPr>
            </w:pPr>
          </w:p>
        </w:tc>
        <w:tc>
          <w:tcPr>
            <w:tcW w:w="1697" w:type="dxa"/>
            <w:gridSpan w:val="2"/>
            <w:noWrap w:val="0"/>
            <w:vAlign w:val="center"/>
          </w:tcPr>
          <w:p w14:paraId="039A220A">
            <w:pPr>
              <w:keepNext w:val="0"/>
              <w:keepLines w:val="0"/>
              <w:suppressLineNumbers w:val="0"/>
              <w:snapToGrid w:val="0"/>
              <w:spacing w:before="0" w:beforeAutospacing="0" w:after="0" w:afterAutospacing="0"/>
              <w:ind w:left="0" w:right="0"/>
              <w:jc w:val="center"/>
              <w:rPr>
                <w:rFonts w:hint="default"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投标产品花纹沟深度（9分）</w:t>
            </w:r>
          </w:p>
          <w:p w14:paraId="4CFA68D8">
            <w:pPr>
              <w:keepNext w:val="0"/>
              <w:keepLines w:val="0"/>
              <w:suppressLineNumbers w:val="0"/>
              <w:snapToGrid w:val="0"/>
              <w:spacing w:before="0" w:beforeAutospacing="0" w:after="0" w:afterAutospacing="0"/>
              <w:ind w:left="0" w:right="0"/>
              <w:jc w:val="center"/>
              <w:rPr>
                <w:rFonts w:hint="eastAsia" w:ascii="宋体" w:hAnsi="宋体" w:cs="宋体"/>
                <w:b/>
                <w:bCs/>
                <w:color w:val="auto"/>
                <w:szCs w:val="21"/>
                <w:highlight w:val="none"/>
              </w:rPr>
            </w:pPr>
          </w:p>
        </w:tc>
        <w:tc>
          <w:tcPr>
            <w:tcW w:w="6025" w:type="dxa"/>
            <w:gridSpan w:val="2"/>
            <w:noWrap w:val="0"/>
            <w:vAlign w:val="top"/>
          </w:tcPr>
          <w:p w14:paraId="6C6EB233">
            <w:pPr>
              <w:pStyle w:val="2"/>
              <w:keepNext w:val="0"/>
              <w:keepLines w:val="0"/>
              <w:suppressLineNumbers w:val="0"/>
              <w:spacing w:before="0" w:beforeAutospacing="0" w:after="0" w:afterAutospacing="0" w:line="240" w:lineRule="auto"/>
              <w:ind w:left="0" w:right="0"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215/75R-17.5，13mm及以上得0.9分；11mm（含）-13mm得0.5分；11mm以下不得分。</w:t>
            </w:r>
          </w:p>
          <w:p w14:paraId="07942F26">
            <w:pPr>
              <w:keepNext w:val="0"/>
              <w:keepLines w:val="0"/>
              <w:suppressLineNumbers w:val="0"/>
              <w:snapToGrid w:val="0"/>
              <w:spacing w:before="0" w:beforeAutospacing="0" w:after="0" w:afterAutospacing="0" w:line="240" w:lineRule="auto"/>
              <w:ind w:left="0" w:right="0"/>
              <w:jc w:val="left"/>
              <w:rPr>
                <w:rFonts w:hint="eastAsia" w:ascii="宋体" w:hAnsi="宋体" w:cs="宋体"/>
                <w:b/>
                <w:bCs/>
                <w:snapToGrid w:val="0"/>
                <w:color w:val="auto"/>
                <w:kern w:val="0"/>
                <w:szCs w:val="21"/>
                <w:highlight w:val="none"/>
              </w:rPr>
            </w:pPr>
            <w:r>
              <w:rPr>
                <w:rFonts w:hint="eastAsia" w:ascii="Times New Roman" w:hAnsi="Times New Roman" w:eastAsia="宋体" w:cs="Times New Roman"/>
                <w:kern w:val="2"/>
                <w:sz w:val="21"/>
                <w:szCs w:val="24"/>
                <w:highlight w:val="none"/>
                <w:lang w:val="en-US" w:eastAsia="zh-CN" w:bidi="ar-SA"/>
              </w:rPr>
              <w:t>215/75R-17.5（加强型)，13.3mm及以上得0.9分；11mm（含）-13.3mm得0.5分；11mm以下不得分。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245/70R-19.5，14mm及以上得0.9分；12mm（含）-14mm得0.5分；12mm以下不得分。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255/70R-22.5，14mm及以上得0.9分；12mm（含）-14mm得0.5分；12mm以下不得分。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265/70R-19.5，16mm及以上得0.9分；14mm（含）-16mm得0.5分；14mm以下不得分。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275/70R-22.5，18mm及以上得0.9分；16mm（含）-18mm得0.5分；16mm以下不得分。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295/80R-22.5，17mm及以上得0.9分；15mm（含）-17mm得0.5分；15mm以下不得分。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9R/22.5，14mm及以上得0.9分；12mm（含）-14mm得0.5分；12mm以下不得分。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10R-22.5，15mm及以上得0.9分；13mm（含）-15mm得0.5分；13mm以下不得分。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ascii="Times New Roman" w:hAnsi="Times New Roman" w:eastAsia="宋体" w:cs="Times New Roman"/>
                <w:kern w:val="2"/>
                <w:sz w:val="21"/>
                <w:szCs w:val="24"/>
                <w:highlight w:val="none"/>
                <w:lang w:val="en-US" w:eastAsia="zh-CN" w:bidi="ar-SA"/>
              </w:rPr>
              <w:t xml:space="preserve">    11R-22.5，16mm及以上得0.9分；14mm（含）-16mm得0.5分；14mm以下不得分。</w:t>
            </w:r>
            <w:r>
              <w:rPr>
                <w:rFonts w:hint="eastAsia" w:ascii="Times New Roman" w:hAnsi="Times New Roman" w:eastAsia="宋体" w:cs="Times New Roman"/>
                <w:kern w:val="2"/>
                <w:sz w:val="21"/>
                <w:szCs w:val="24"/>
                <w:highlight w:val="none"/>
                <w:lang w:val="en-US" w:eastAsia="zh-CN" w:bidi="ar-SA"/>
              </w:rPr>
              <w:br w:type="textWrapping"/>
            </w:r>
            <w:r>
              <w:rPr>
                <w:rFonts w:hint="eastAsia"/>
                <w:highlight w:val="none"/>
                <w:lang w:val="en-US" w:eastAsia="zh-CN"/>
              </w:rPr>
              <w:t xml:space="preserve">    注：1.所有投标人均须提供有检验资质的检验中心出具对应型号《轮胎外缘尺寸检验报告（花纹沟深度）》复印件并加盖投标人和投标产品生产企业的鲜章，并装订入投标文件中，未提供的该项不得分。</w:t>
            </w:r>
          </w:p>
        </w:tc>
      </w:tr>
      <w:tr w14:paraId="1102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002" w:type="dxa"/>
            <w:vMerge w:val="continue"/>
            <w:noWrap w:val="0"/>
            <w:vAlign w:val="top"/>
          </w:tcPr>
          <w:p w14:paraId="03C6CCF3">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292" w:type="dxa"/>
            <w:vMerge w:val="continue"/>
            <w:noWrap w:val="0"/>
            <w:vAlign w:val="center"/>
          </w:tcPr>
          <w:p w14:paraId="6DB5623F">
            <w:pPr>
              <w:keepNext w:val="0"/>
              <w:keepLines w:val="0"/>
              <w:suppressLineNumbers w:val="0"/>
              <w:spacing w:before="0" w:beforeAutospacing="0" w:after="0" w:afterAutospacing="0" w:line="440" w:lineRule="exact"/>
              <w:ind w:left="211" w:leftChars="0" w:right="0" w:hanging="211" w:hangingChars="100"/>
              <w:jc w:val="center"/>
              <w:rPr>
                <w:rFonts w:hint="eastAsia" w:ascii="宋体" w:hAnsi="宋体" w:cs="宋体"/>
                <w:b/>
                <w:bCs/>
                <w:color w:val="auto"/>
                <w:szCs w:val="21"/>
                <w:highlight w:val="none"/>
              </w:rPr>
            </w:pPr>
          </w:p>
        </w:tc>
        <w:tc>
          <w:tcPr>
            <w:tcW w:w="1697" w:type="dxa"/>
            <w:gridSpan w:val="2"/>
            <w:noWrap w:val="0"/>
            <w:vAlign w:val="center"/>
          </w:tcPr>
          <w:p w14:paraId="16A1F82D">
            <w:pPr>
              <w:keepNext w:val="0"/>
              <w:keepLines w:val="0"/>
              <w:suppressLineNumbers w:val="0"/>
              <w:snapToGrid w:val="0"/>
              <w:spacing w:before="0" w:beforeAutospacing="0" w:after="0" w:afterAutospacing="0"/>
              <w:ind w:left="0" w:right="0"/>
              <w:jc w:val="center"/>
              <w:rPr>
                <w:rFonts w:hint="eastAsia" w:ascii="宋体" w:hAnsi="宋体" w:cs="宋体"/>
                <w:b/>
                <w:bCs/>
                <w:color w:val="auto"/>
                <w:szCs w:val="21"/>
                <w:highlight w:val="none"/>
              </w:rPr>
            </w:pPr>
            <w:r>
              <w:rPr>
                <w:rFonts w:hint="eastAsia"/>
                <w:highlight w:val="none"/>
                <w:lang w:val="en-US" w:eastAsia="zh-CN"/>
              </w:rPr>
              <w:t>投标产品外胎重量</w:t>
            </w:r>
            <w:r>
              <w:rPr>
                <w:rFonts w:hint="eastAsia" w:ascii="宋体" w:hAnsi="宋体" w:cs="宋体"/>
                <w:b w:val="0"/>
                <w:bCs w:val="0"/>
                <w:color w:val="auto"/>
                <w:szCs w:val="21"/>
                <w:highlight w:val="none"/>
                <w:lang w:val="en-US" w:eastAsia="zh-CN"/>
              </w:rPr>
              <w:t>（9分）</w:t>
            </w:r>
          </w:p>
        </w:tc>
        <w:tc>
          <w:tcPr>
            <w:tcW w:w="6025" w:type="dxa"/>
            <w:gridSpan w:val="2"/>
            <w:noWrap w:val="0"/>
            <w:vAlign w:val="top"/>
          </w:tcPr>
          <w:p w14:paraId="60338604">
            <w:pPr>
              <w:keepNext w:val="0"/>
              <w:keepLines w:val="0"/>
              <w:suppressLineNumbers w:val="0"/>
              <w:spacing w:before="0" w:beforeAutospacing="0" w:after="0" w:afterAutospacing="0"/>
              <w:ind w:left="0" w:right="0" w:firstLine="420" w:firstLineChars="200"/>
              <w:rPr>
                <w:rFonts w:hint="eastAsia"/>
                <w:highlight w:val="none"/>
                <w:lang w:val="en-US" w:eastAsia="zh-CN"/>
              </w:rPr>
            </w:pPr>
            <w:r>
              <w:rPr>
                <w:rFonts w:hint="eastAsia"/>
                <w:highlight w:val="none"/>
                <w:lang w:val="en-US" w:eastAsia="zh-CN"/>
              </w:rPr>
              <w:t>215/75R-17.5，外胎重量28kg及以上得0.9分；26kg（含）-28kg得0.5分；26kg以下不得分。</w:t>
            </w:r>
          </w:p>
          <w:p w14:paraId="4112D9B5">
            <w:pPr>
              <w:keepNext w:val="0"/>
              <w:keepLines w:val="0"/>
              <w:suppressLineNumbers w:val="0"/>
              <w:spacing w:before="0" w:beforeAutospacing="0" w:after="0" w:afterAutospacing="0"/>
              <w:ind w:left="0" w:right="0" w:firstLine="420" w:firstLineChars="200"/>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215/75R-17.5（加强型)，外胎重量28.6kg及以上得0.9分；26kg（含）-28.6kg得0.5分；26kg以下不得分。</w:t>
            </w:r>
            <w:r>
              <w:rPr>
                <w:rFonts w:hint="eastAsia"/>
                <w:highlight w:val="none"/>
                <w:lang w:val="en-US" w:eastAsia="zh-CN"/>
              </w:rPr>
              <w:br w:type="textWrapping"/>
            </w:r>
            <w:r>
              <w:rPr>
                <w:rFonts w:hint="eastAsia"/>
                <w:highlight w:val="none"/>
                <w:lang w:val="en-US" w:eastAsia="zh-CN"/>
              </w:rPr>
              <w:t xml:space="preserve">    245/70R-19.5，外胎重量36kg及以上得0.9分；34kg（含）-36kg得0.5分；34kg以下不得分。</w:t>
            </w:r>
            <w:r>
              <w:rPr>
                <w:rFonts w:hint="eastAsia"/>
                <w:highlight w:val="none"/>
                <w:lang w:val="en-US" w:eastAsia="zh-CN"/>
              </w:rPr>
              <w:br w:type="textWrapping"/>
            </w:r>
            <w:r>
              <w:rPr>
                <w:rFonts w:hint="eastAsia"/>
                <w:highlight w:val="none"/>
                <w:lang w:val="en-US" w:eastAsia="zh-CN"/>
              </w:rPr>
              <w:t xml:space="preserve">    255/70R-22.5，外胎重量42kg及以上得0.9分；40kg（含）-42kg得0.5分；40kg以下不得分。</w:t>
            </w:r>
            <w:r>
              <w:rPr>
                <w:rFonts w:hint="eastAsia"/>
                <w:highlight w:val="none"/>
                <w:lang w:val="en-US" w:eastAsia="zh-CN"/>
              </w:rPr>
              <w:br w:type="textWrapping"/>
            </w:r>
            <w:r>
              <w:rPr>
                <w:rFonts w:hint="eastAsia"/>
                <w:highlight w:val="none"/>
                <w:lang w:val="en-US" w:eastAsia="zh-CN"/>
              </w:rPr>
              <w:t xml:space="preserve">    265/70R-19.5，外胎重量44kg及以上得0.9分；42kg（含）-44kg得0.5分；42kg以下不得分。</w:t>
            </w:r>
            <w:r>
              <w:rPr>
                <w:rFonts w:hint="eastAsia"/>
                <w:highlight w:val="none"/>
                <w:lang w:val="en-US" w:eastAsia="zh-CN"/>
              </w:rPr>
              <w:br w:type="textWrapping"/>
            </w:r>
            <w:r>
              <w:rPr>
                <w:rFonts w:hint="eastAsia"/>
                <w:highlight w:val="none"/>
                <w:lang w:val="en-US" w:eastAsia="zh-CN"/>
              </w:rPr>
              <w:t xml:space="preserve">    275/70R-22.5，外胎重量56kg及以上得0.9分；54kg（含）-56kg得0.5分；54kg以下不得分。</w:t>
            </w:r>
            <w:r>
              <w:rPr>
                <w:rFonts w:hint="eastAsia"/>
                <w:highlight w:val="none"/>
                <w:lang w:val="en-US" w:eastAsia="zh-CN"/>
              </w:rPr>
              <w:br w:type="textWrapping"/>
            </w:r>
            <w:r>
              <w:rPr>
                <w:rFonts w:hint="eastAsia"/>
                <w:highlight w:val="none"/>
                <w:lang w:val="en-US" w:eastAsia="zh-CN"/>
              </w:rPr>
              <w:t xml:space="preserve">    295/80R-22.5，外胎重量62kg及以上得0.9分；60kg（含）-62kg得0.5分；60kg以下不得分。</w:t>
            </w:r>
            <w:r>
              <w:rPr>
                <w:rFonts w:hint="eastAsia"/>
                <w:highlight w:val="none"/>
                <w:lang w:val="en-US" w:eastAsia="zh-CN"/>
              </w:rPr>
              <w:br w:type="textWrapping"/>
            </w:r>
            <w:r>
              <w:rPr>
                <w:rFonts w:hint="eastAsia"/>
                <w:highlight w:val="none"/>
                <w:lang w:val="en-US" w:eastAsia="zh-CN"/>
              </w:rPr>
              <w:t xml:space="preserve">    9R-22.5，外胎重量40kg及以上得0.9分；38kg（含）-40kg得0.5分；38kg以下不得分。</w:t>
            </w:r>
            <w:r>
              <w:rPr>
                <w:rFonts w:hint="eastAsia"/>
                <w:highlight w:val="none"/>
                <w:lang w:val="en-US" w:eastAsia="zh-CN"/>
              </w:rPr>
              <w:br w:type="textWrapping"/>
            </w:r>
            <w:r>
              <w:rPr>
                <w:rFonts w:hint="eastAsia"/>
                <w:highlight w:val="none"/>
                <w:lang w:val="en-US" w:eastAsia="zh-CN"/>
              </w:rPr>
              <w:t xml:space="preserve">    10R-22.5，外胎重量48kg及以上得0.9分；46kg（含）-47kg得0.5分；46kg以下不得分。</w:t>
            </w:r>
            <w:r>
              <w:rPr>
                <w:rFonts w:hint="eastAsia"/>
                <w:highlight w:val="none"/>
                <w:lang w:val="en-US" w:eastAsia="zh-CN"/>
              </w:rPr>
              <w:br w:type="textWrapping"/>
            </w:r>
            <w:r>
              <w:rPr>
                <w:rFonts w:hint="eastAsia"/>
                <w:highlight w:val="none"/>
                <w:lang w:val="en-US" w:eastAsia="zh-CN"/>
              </w:rPr>
              <w:t xml:space="preserve">    11R-22.5，外胎重量56kg及以上得0.9分；54kg（含）-56kg得0.5分；54kg以下不得分。</w:t>
            </w:r>
            <w:r>
              <w:rPr>
                <w:rFonts w:hint="eastAsia"/>
                <w:highlight w:val="none"/>
                <w:lang w:val="en-US" w:eastAsia="zh-CN"/>
              </w:rPr>
              <w:br w:type="textWrapping"/>
            </w:r>
            <w:r>
              <w:rPr>
                <w:rFonts w:hint="eastAsia"/>
                <w:highlight w:val="none"/>
                <w:lang w:val="en-US" w:eastAsia="zh-CN"/>
              </w:rPr>
              <w:t xml:space="preserve">    注：1.所有投标人均须提供有检验资质的检验中心出具对应型号《轮胎外缘尺寸检验报告（花纹沟深度）》复印件并加盖投标人和投标产品生产企业的鲜章，并装订入投标文件中，未提供的该项不得分。</w:t>
            </w:r>
          </w:p>
        </w:tc>
      </w:tr>
      <w:tr w14:paraId="5B8C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3" w:hRule="atLeast"/>
          <w:jc w:val="center"/>
        </w:trPr>
        <w:tc>
          <w:tcPr>
            <w:tcW w:w="1002" w:type="dxa"/>
            <w:vMerge w:val="continue"/>
            <w:noWrap w:val="0"/>
            <w:vAlign w:val="top"/>
          </w:tcPr>
          <w:p w14:paraId="658F4D6F">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292" w:type="dxa"/>
            <w:vMerge w:val="continue"/>
            <w:noWrap w:val="0"/>
            <w:vAlign w:val="top"/>
          </w:tcPr>
          <w:p w14:paraId="403E3038">
            <w:pPr>
              <w:keepNext w:val="0"/>
              <w:keepLines w:val="0"/>
              <w:suppressLineNumbers w:val="0"/>
              <w:spacing w:before="0" w:beforeAutospacing="0" w:after="0" w:afterAutospacing="0" w:line="440" w:lineRule="exact"/>
              <w:ind w:left="211" w:leftChars="0" w:right="0" w:hanging="211" w:hangingChars="100"/>
              <w:rPr>
                <w:rFonts w:hint="eastAsia" w:ascii="宋体" w:hAnsi="宋体" w:cs="宋体"/>
                <w:b/>
                <w:bCs/>
                <w:color w:val="auto"/>
                <w:szCs w:val="21"/>
                <w:highlight w:val="none"/>
              </w:rPr>
            </w:pPr>
          </w:p>
        </w:tc>
        <w:tc>
          <w:tcPr>
            <w:tcW w:w="1697" w:type="dxa"/>
            <w:gridSpan w:val="2"/>
            <w:noWrap w:val="0"/>
            <w:vAlign w:val="top"/>
          </w:tcPr>
          <w:p w14:paraId="47AFDDD7">
            <w:pPr>
              <w:keepNext w:val="0"/>
              <w:keepLines w:val="0"/>
              <w:suppressLineNumbers w:val="0"/>
              <w:snapToGrid w:val="0"/>
              <w:spacing w:before="0" w:beforeAutospacing="0" w:after="0" w:afterAutospacing="0"/>
              <w:ind w:left="0" w:right="0"/>
              <w:jc w:val="left"/>
              <w:rPr>
                <w:rFonts w:hint="eastAsia" w:ascii="宋体" w:hAnsi="宋体" w:cs="宋体"/>
                <w:b/>
                <w:bCs/>
                <w:color w:val="auto"/>
                <w:szCs w:val="21"/>
                <w:highlight w:val="none"/>
              </w:rPr>
            </w:pPr>
            <w:r>
              <w:rPr>
                <w:rFonts w:hint="eastAsia" w:ascii="Calibri" w:hAnsi="Calibri" w:eastAsia="宋体" w:cs="Times New Roman"/>
                <w:color w:val="000000" w:themeColor="text1"/>
                <w:sz w:val="21"/>
                <w:highlight w:val="none"/>
                <w:lang w:val="en-US" w:eastAsia="zh-CN"/>
                <w14:textFill>
                  <w14:solidFill>
                    <w14:schemeClr w14:val="tx1"/>
                  </w14:solidFill>
                </w14:textFill>
              </w:rPr>
              <w:t xml:space="preserve">投标产品性能 </w:t>
            </w:r>
            <w:r>
              <w:rPr>
                <w:rFonts w:hint="eastAsia" w:ascii="宋体" w:hAnsi="宋体" w:cs="宋体"/>
                <w:b w:val="0"/>
                <w:bCs w:val="0"/>
                <w:color w:val="auto"/>
                <w:szCs w:val="21"/>
                <w:highlight w:val="none"/>
                <w:lang w:val="en-US" w:eastAsia="zh-CN"/>
              </w:rPr>
              <w:t>（9分）</w:t>
            </w:r>
          </w:p>
        </w:tc>
        <w:tc>
          <w:tcPr>
            <w:tcW w:w="6025" w:type="dxa"/>
            <w:gridSpan w:val="2"/>
            <w:noWrap w:val="0"/>
            <w:vAlign w:val="top"/>
          </w:tcPr>
          <w:p w14:paraId="0A6C8B09">
            <w:pPr>
              <w:keepNext w:val="0"/>
              <w:keepLines w:val="0"/>
              <w:suppressLineNumbers w:val="0"/>
              <w:spacing w:before="0" w:beforeAutospacing="0" w:after="0" w:afterAutospacing="0"/>
              <w:ind w:left="0" w:right="0" w:firstLine="420" w:firstLineChars="200"/>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215/75R-17.5，轮胎强度性能指标（以强度范围内最大值为准）最大得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asciiTheme="minorHAnsi" w:hAnsiTheme="minorHAnsi" w:eastAsiaTheme="minorEastAsia" w:cstheme="minorBidi"/>
                <w:kern w:val="2"/>
                <w:sz w:val="21"/>
                <w:szCs w:val="24"/>
                <w:highlight w:val="none"/>
                <w:lang w:val="en-US" w:eastAsia="zh-CN" w:bidi="ar-SA"/>
              </w:rPr>
              <w:t xml:space="preserve">   </w:t>
            </w:r>
            <w:r>
              <w:rPr>
                <w:rFonts w:hint="eastAsia"/>
                <w:highlight w:val="none"/>
                <w:lang w:val="en-US" w:eastAsia="zh-CN"/>
              </w:rPr>
              <w:t>215/75R-17.5（加强型)，</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cstheme="minorBidi"/>
                <w:kern w:val="2"/>
                <w:sz w:val="21"/>
                <w:szCs w:val="24"/>
                <w:highlight w:val="none"/>
                <w:lang w:val="en-US" w:eastAsia="zh-CN" w:bidi="ar-SA"/>
              </w:rPr>
              <w:t xml:space="preserve">  </w:t>
            </w:r>
            <w:r>
              <w:rPr>
                <w:rFonts w:hint="eastAsia" w:asciiTheme="minorHAnsi" w:hAnsiTheme="minorHAnsi" w:eastAsiaTheme="minorEastAsia" w:cstheme="minorBidi"/>
                <w:kern w:val="2"/>
                <w:sz w:val="21"/>
                <w:szCs w:val="24"/>
                <w:highlight w:val="none"/>
                <w:lang w:val="en-US" w:eastAsia="zh-CN" w:bidi="ar-SA"/>
              </w:rPr>
              <w:t>245/70R-19.5，轮胎强度性能指标（以强度范围内最大值为准）最大得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asciiTheme="minorHAnsi" w:hAnsiTheme="minorHAnsi" w:eastAsiaTheme="minorEastAsia" w:cstheme="minorBidi"/>
                <w:kern w:val="2"/>
                <w:sz w:val="21"/>
                <w:szCs w:val="24"/>
                <w:highlight w:val="none"/>
                <w:lang w:val="en-US" w:eastAsia="zh-CN" w:bidi="ar-SA"/>
              </w:rPr>
              <w:t xml:space="preserve">    255/70R-22.5，轮胎强度性能指标（以强度范围内最大值为准）最大得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cstheme="minorBidi"/>
                <w:kern w:val="2"/>
                <w:sz w:val="21"/>
                <w:szCs w:val="24"/>
                <w:highlight w:val="none"/>
                <w:lang w:val="en-US" w:eastAsia="zh-CN" w:bidi="ar-SA"/>
              </w:rPr>
              <w:t xml:space="preserve">  </w:t>
            </w:r>
            <w:r>
              <w:rPr>
                <w:rFonts w:hint="eastAsia" w:asciiTheme="minorHAnsi" w:hAnsiTheme="minorHAnsi" w:eastAsiaTheme="minorEastAsia" w:cstheme="minorBidi"/>
                <w:kern w:val="2"/>
                <w:sz w:val="21"/>
                <w:szCs w:val="24"/>
                <w:highlight w:val="none"/>
                <w:lang w:val="en-US" w:eastAsia="zh-CN" w:bidi="ar-SA"/>
              </w:rPr>
              <w:t>265/70R-19.5，轮胎强度性能指标（以强度范围内最大值为准）最大得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Theme="minorHAnsi" w:hAnsiTheme="minorHAnsi" w:eastAsiaTheme="minorEastAsia" w:cstheme="minorBidi"/>
                <w:kern w:val="2"/>
                <w:sz w:val="21"/>
                <w:szCs w:val="24"/>
                <w:highlight w:val="none"/>
                <w:lang w:val="en-US" w:eastAsia="zh-CN" w:bidi="ar-SA"/>
              </w:rPr>
              <w:br w:type="textWrapping"/>
            </w:r>
            <w:r>
              <w:rPr>
                <w:rFonts w:hint="eastAsia" w:asciiTheme="minorHAnsi" w:hAnsiTheme="minorHAnsi" w:eastAsiaTheme="minorEastAsia" w:cstheme="minorBidi"/>
                <w:kern w:val="2"/>
                <w:sz w:val="21"/>
                <w:szCs w:val="24"/>
                <w:highlight w:val="none"/>
                <w:lang w:val="en-US" w:eastAsia="zh-CN" w:bidi="ar-SA"/>
              </w:rPr>
              <w:t xml:space="preserve">    275/70R-22.5，轮胎强度性能指标（以强度范围内最大值为准）最大得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p>
          <w:p w14:paraId="6B21FD3C">
            <w:pPr>
              <w:keepNext w:val="0"/>
              <w:keepLines w:val="0"/>
              <w:suppressLineNumbers w:val="0"/>
              <w:tabs>
                <w:tab w:val="left" w:pos="2300"/>
              </w:tabs>
              <w:snapToGrid w:val="0"/>
              <w:spacing w:before="0" w:beforeAutospacing="0" w:after="0" w:afterAutospacing="0" w:line="360" w:lineRule="auto"/>
              <w:ind w:left="0" w:right="0" w:firstLine="420" w:firstLineChars="200"/>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295/80R-22.5，轮胎强度性能指标（以强度范围内最大值为准）最大得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p>
          <w:p w14:paraId="4CBDAD87">
            <w:pPr>
              <w:keepNext w:val="0"/>
              <w:keepLines w:val="0"/>
              <w:suppressLineNumbers w:val="0"/>
              <w:tabs>
                <w:tab w:val="left" w:pos="2300"/>
              </w:tabs>
              <w:snapToGrid w:val="0"/>
              <w:spacing w:before="0" w:beforeAutospacing="0" w:after="0" w:afterAutospacing="0" w:line="360" w:lineRule="auto"/>
              <w:ind w:left="0" w:right="0" w:firstLine="420" w:firstLineChars="200"/>
              <w:rPr>
                <w:rFonts w:hint="eastAsia" w:ascii="Calibri" w:hAnsi="Calibri" w:eastAsia="宋体" w:cs="Times New Roman"/>
                <w:color w:val="auto"/>
                <w:sz w:val="21"/>
                <w:szCs w:val="21"/>
                <w:highlight w:val="none"/>
                <w:lang w:val="en-US" w:eastAsia="zh-CN"/>
              </w:rPr>
            </w:pPr>
            <w:r>
              <w:rPr>
                <w:rFonts w:hint="eastAsia" w:ascii="Calibri" w:hAnsi="Calibri" w:eastAsia="宋体" w:cs="Times New Roman"/>
                <w:color w:val="auto"/>
                <w:sz w:val="21"/>
                <w:szCs w:val="21"/>
                <w:highlight w:val="none"/>
                <w:lang w:val="en-US" w:eastAsia="zh-CN"/>
              </w:rPr>
              <w:t>9R-22.5，</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Calibri" w:hAnsi="Calibri" w:eastAsia="宋体" w:cs="Times New Roman"/>
                <w:color w:val="auto"/>
                <w:sz w:val="21"/>
                <w:szCs w:val="21"/>
                <w:highlight w:val="none"/>
                <w:lang w:val="en-US" w:eastAsia="zh-CN"/>
              </w:rPr>
              <w:br w:type="textWrapping"/>
            </w:r>
            <w:r>
              <w:rPr>
                <w:rFonts w:hint="eastAsia" w:ascii="Calibri" w:hAnsi="Calibri" w:eastAsia="宋体" w:cs="Times New Roman"/>
                <w:color w:val="auto"/>
                <w:sz w:val="21"/>
                <w:szCs w:val="21"/>
                <w:highlight w:val="none"/>
                <w:lang w:val="en-US" w:eastAsia="zh-CN"/>
              </w:rPr>
              <w:t xml:space="preserve">    10R-22.5，</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r>
              <w:rPr>
                <w:rFonts w:hint="eastAsia" w:ascii="Calibri" w:hAnsi="Calibri" w:eastAsia="宋体" w:cs="Times New Roman"/>
                <w:color w:val="auto"/>
                <w:sz w:val="21"/>
                <w:szCs w:val="21"/>
                <w:highlight w:val="none"/>
                <w:lang w:val="en-US" w:eastAsia="zh-CN"/>
              </w:rPr>
              <w:br w:type="textWrapping"/>
            </w:r>
            <w:r>
              <w:rPr>
                <w:rFonts w:hint="eastAsia" w:ascii="Calibri" w:hAnsi="Calibri" w:eastAsia="宋体" w:cs="Times New Roman"/>
                <w:color w:val="auto"/>
                <w:sz w:val="21"/>
                <w:szCs w:val="21"/>
                <w:highlight w:val="none"/>
                <w:lang w:val="en-US" w:eastAsia="zh-CN"/>
              </w:rPr>
              <w:t xml:space="preserve">    11R-22.5，</w:t>
            </w:r>
            <w:r>
              <w:rPr>
                <w:rFonts w:hint="eastAsia" w:asciiTheme="minorHAnsi" w:hAnsiTheme="minorHAnsi" w:eastAsiaTheme="minorEastAsia" w:cstheme="minorBidi"/>
                <w:kern w:val="2"/>
                <w:sz w:val="21"/>
                <w:szCs w:val="24"/>
                <w:highlight w:val="none"/>
                <w:lang w:val="en-US" w:eastAsia="zh-CN" w:bidi="ar-SA"/>
              </w:rPr>
              <w:t>轮胎强度性能指标（以强度范围内最大值为准）最大得</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分，其他在</w:t>
            </w:r>
            <w:r>
              <w:rPr>
                <w:rFonts w:hint="eastAsia" w:cstheme="minorBidi"/>
                <w:kern w:val="2"/>
                <w:sz w:val="21"/>
                <w:szCs w:val="24"/>
                <w:highlight w:val="none"/>
                <w:lang w:val="en-US" w:eastAsia="zh-CN" w:bidi="ar-SA"/>
              </w:rPr>
              <w:t>0.9</w:t>
            </w:r>
            <w:r>
              <w:rPr>
                <w:rFonts w:hint="eastAsia" w:asciiTheme="minorHAnsi" w:hAnsiTheme="minorHAnsi" w:eastAsiaTheme="minorEastAsia" w:cstheme="minorBidi"/>
                <w:kern w:val="2"/>
                <w:sz w:val="21"/>
                <w:szCs w:val="24"/>
                <w:highlight w:val="none"/>
                <w:lang w:val="en-US" w:eastAsia="zh-CN" w:bidi="ar-SA"/>
              </w:rPr>
              <w:t>分的基础上按指标排名每递减1名扣减0.</w:t>
            </w:r>
            <w:r>
              <w:rPr>
                <w:rFonts w:hint="eastAsia" w:cstheme="minorBidi"/>
                <w:kern w:val="2"/>
                <w:sz w:val="21"/>
                <w:szCs w:val="24"/>
                <w:highlight w:val="none"/>
                <w:lang w:val="en-US" w:eastAsia="zh-CN" w:bidi="ar-SA"/>
              </w:rPr>
              <w:t>2</w:t>
            </w:r>
            <w:r>
              <w:rPr>
                <w:rFonts w:hint="eastAsia" w:asciiTheme="minorHAnsi" w:hAnsiTheme="minorHAnsi" w:eastAsiaTheme="minorEastAsia" w:cstheme="minorBidi"/>
                <w:kern w:val="2"/>
                <w:sz w:val="21"/>
                <w:szCs w:val="24"/>
                <w:highlight w:val="none"/>
                <w:lang w:val="en-US" w:eastAsia="zh-CN" w:bidi="ar-SA"/>
              </w:rPr>
              <w:t>分，扣完为止。</w:t>
            </w:r>
          </w:p>
          <w:p w14:paraId="66876A9A">
            <w:pPr>
              <w:keepNext w:val="0"/>
              <w:keepLines w:val="0"/>
              <w:suppressLineNumbers w:val="0"/>
              <w:snapToGrid w:val="0"/>
              <w:spacing w:before="0" w:beforeAutospacing="0" w:after="0" w:afterAutospacing="0"/>
              <w:ind w:left="0" w:right="0"/>
              <w:jc w:val="left"/>
              <w:rPr>
                <w:rFonts w:hint="eastAsia" w:ascii="宋体" w:hAnsi="宋体" w:cs="宋体"/>
                <w:b/>
                <w:bCs/>
                <w:snapToGrid w:val="0"/>
                <w:color w:val="auto"/>
                <w:kern w:val="0"/>
                <w:szCs w:val="21"/>
                <w:highlight w:val="none"/>
              </w:rPr>
            </w:pPr>
            <w:r>
              <w:rPr>
                <w:rFonts w:hint="eastAsia"/>
                <w:highlight w:val="none"/>
                <w:lang w:val="en-US" w:eastAsia="zh-CN"/>
              </w:rPr>
              <w:t>注：1.所有投标人均须提供有检验资质的检验中心出具对应型号《轮胎外缘尺寸检验报告（花纹沟深度）》复印件并加盖投标人和投标产品生产企业的鲜章，并装订入投标文件中，未提供的该项不得分。</w:t>
            </w:r>
          </w:p>
        </w:tc>
      </w:tr>
      <w:tr w14:paraId="6811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2294" w:type="dxa"/>
            <w:gridSpan w:val="2"/>
            <w:noWrap w:val="0"/>
            <w:vAlign w:val="center"/>
          </w:tcPr>
          <w:p w14:paraId="5F8190C1">
            <w:pPr>
              <w:keepNext w:val="0"/>
              <w:keepLines w:val="0"/>
              <w:suppressLineNumbers w:val="0"/>
              <w:spacing w:before="0" w:beforeAutospacing="0" w:after="0" w:afterAutospacing="0" w:line="440" w:lineRule="exact"/>
              <w:ind w:left="0" w:right="0"/>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rPr>
              <w:t>条款号</w:t>
            </w:r>
          </w:p>
        </w:tc>
        <w:tc>
          <w:tcPr>
            <w:tcW w:w="1697" w:type="dxa"/>
            <w:gridSpan w:val="2"/>
            <w:noWrap w:val="0"/>
            <w:vAlign w:val="center"/>
          </w:tcPr>
          <w:p w14:paraId="24C0DF34">
            <w:pPr>
              <w:keepNext w:val="0"/>
              <w:keepLines w:val="0"/>
              <w:suppressLineNumbers w:val="0"/>
              <w:spacing w:before="0" w:beforeAutospacing="0" w:after="0" w:afterAutospacing="0" w:line="440" w:lineRule="exact"/>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025" w:type="dxa"/>
            <w:gridSpan w:val="2"/>
            <w:noWrap w:val="0"/>
            <w:vAlign w:val="center"/>
          </w:tcPr>
          <w:p w14:paraId="5527C71F">
            <w:pPr>
              <w:keepNext w:val="0"/>
              <w:keepLines w:val="0"/>
              <w:suppressLineNumbers w:val="0"/>
              <w:spacing w:before="0" w:beforeAutospacing="0" w:after="0" w:afterAutospacing="0" w:line="440" w:lineRule="exact"/>
              <w:ind w:left="0" w:right="0" w:firstLine="422" w:firstLineChars="200"/>
              <w:jc w:val="center"/>
              <w:rPr>
                <w:rFonts w:hint="eastAsia"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评审标准</w:t>
            </w:r>
          </w:p>
        </w:tc>
      </w:tr>
      <w:tr w14:paraId="7F50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294" w:type="dxa"/>
            <w:gridSpan w:val="2"/>
            <w:noWrap w:val="0"/>
            <w:vAlign w:val="center"/>
          </w:tcPr>
          <w:p w14:paraId="794A40F6">
            <w:pPr>
              <w:keepNext w:val="0"/>
              <w:keepLines w:val="0"/>
              <w:suppressLineNumbers w:val="0"/>
              <w:spacing w:before="0" w:beforeAutospacing="0" w:after="0" w:afterAutospacing="0" w:line="440" w:lineRule="exact"/>
              <w:ind w:left="0" w:right="0"/>
              <w:jc w:val="center"/>
              <w:rPr>
                <w:rFonts w:hint="eastAsia" w:ascii="宋体" w:hAnsi="宋体" w:cs="宋体"/>
                <w:b/>
                <w:bCs/>
                <w:color w:val="auto"/>
                <w:szCs w:val="21"/>
                <w:highlight w:val="none"/>
              </w:rPr>
            </w:pPr>
            <w:r>
              <w:rPr>
                <w:rFonts w:hint="eastAsia" w:ascii="宋体" w:hAnsi="宋体" w:cs="宋体"/>
                <w:color w:val="auto"/>
                <w:szCs w:val="21"/>
                <w:highlight w:val="none"/>
              </w:rPr>
              <w:t>3</w:t>
            </w:r>
          </w:p>
        </w:tc>
        <w:tc>
          <w:tcPr>
            <w:tcW w:w="1697" w:type="dxa"/>
            <w:gridSpan w:val="2"/>
            <w:noWrap w:val="0"/>
            <w:vAlign w:val="center"/>
          </w:tcPr>
          <w:p w14:paraId="1F288FEE">
            <w:pPr>
              <w:keepNext w:val="0"/>
              <w:keepLines w:val="0"/>
              <w:suppressLineNumbers w:val="0"/>
              <w:spacing w:before="0" w:beforeAutospacing="0" w:after="0" w:afterAutospacing="0" w:line="440" w:lineRule="exact"/>
              <w:ind w:left="0" w:right="0"/>
              <w:jc w:val="center"/>
              <w:rPr>
                <w:rFonts w:hint="eastAsia" w:ascii="宋体" w:hAnsi="宋体" w:cs="宋体"/>
                <w:b/>
                <w:bCs/>
                <w:color w:val="auto"/>
                <w:szCs w:val="21"/>
                <w:highlight w:val="none"/>
              </w:rPr>
            </w:pPr>
            <w:r>
              <w:rPr>
                <w:rFonts w:hint="eastAsia" w:ascii="宋体" w:hAnsi="宋体" w:cs="宋体"/>
                <w:color w:val="auto"/>
                <w:szCs w:val="21"/>
                <w:highlight w:val="none"/>
              </w:rPr>
              <w:t>评标程序</w:t>
            </w:r>
          </w:p>
        </w:tc>
        <w:tc>
          <w:tcPr>
            <w:tcW w:w="6025" w:type="dxa"/>
            <w:gridSpan w:val="2"/>
            <w:noWrap w:val="0"/>
            <w:vAlign w:val="center"/>
          </w:tcPr>
          <w:p w14:paraId="7B53E22A">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 按本章评标办法第3.1款进行初步评审。</w:t>
            </w:r>
          </w:p>
          <w:p w14:paraId="3E8A1730">
            <w:pPr>
              <w:keepNext w:val="0"/>
              <w:keepLines w:val="0"/>
              <w:suppressLineNumbers w:val="0"/>
              <w:spacing w:before="0" w:beforeAutospacing="0" w:after="0" w:afterAutospacing="0" w:line="440" w:lineRule="exact"/>
              <w:ind w:left="0" w:right="0"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2.对通过初步评审合格的投标人的投标文件，按本章3.2.1规定的评分方法和标准评分,确定得分最高的前三名投标人（按得分高低排序）为中标候选人。</w:t>
            </w:r>
          </w:p>
          <w:p w14:paraId="69270DB5">
            <w:pPr>
              <w:keepNext w:val="0"/>
              <w:keepLines w:val="0"/>
              <w:suppressLineNumbers w:val="0"/>
              <w:spacing w:before="0" w:beforeAutospacing="0" w:after="0" w:afterAutospacing="0" w:line="440" w:lineRule="exact"/>
              <w:ind w:left="0" w:right="0" w:firstLine="420" w:firstLineChars="200"/>
              <w:rPr>
                <w:rFonts w:hint="eastAsia" w:ascii="宋体" w:hAnsi="宋体" w:cs="宋体"/>
                <w:b/>
                <w:bCs/>
                <w:snapToGrid w:val="0"/>
                <w:color w:val="auto"/>
                <w:kern w:val="0"/>
                <w:szCs w:val="21"/>
                <w:highlight w:val="none"/>
              </w:rPr>
            </w:pPr>
            <w:r>
              <w:rPr>
                <w:rFonts w:hint="eastAsia" w:ascii="宋体" w:hAnsi="宋体" w:cs="宋体"/>
                <w:snapToGrid w:val="0"/>
                <w:color w:val="auto"/>
                <w:kern w:val="0"/>
                <w:szCs w:val="21"/>
                <w:highlight w:val="none"/>
              </w:rPr>
              <w:t>3.如经过对所有投标人的投标文件进行评审，有效投标不足三个使得投标明显缺乏竞争的，评标委员会可以否决全部投标。</w:t>
            </w:r>
          </w:p>
        </w:tc>
      </w:tr>
      <w:tr w14:paraId="1C9A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2294" w:type="dxa"/>
            <w:gridSpan w:val="2"/>
            <w:noWrap w:val="0"/>
            <w:vAlign w:val="center"/>
          </w:tcPr>
          <w:p w14:paraId="0C280FE4">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snapToGrid w:val="0"/>
                <w:color w:val="auto"/>
                <w:kern w:val="0"/>
                <w:szCs w:val="21"/>
                <w:highlight w:val="none"/>
              </w:rPr>
              <w:t>3.2.1（1）</w:t>
            </w:r>
          </w:p>
        </w:tc>
        <w:tc>
          <w:tcPr>
            <w:tcW w:w="1697" w:type="dxa"/>
            <w:gridSpan w:val="2"/>
            <w:noWrap w:val="0"/>
            <w:vAlign w:val="center"/>
          </w:tcPr>
          <w:p w14:paraId="79CD54BF">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投标报价（A）</w:t>
            </w:r>
          </w:p>
        </w:tc>
        <w:tc>
          <w:tcPr>
            <w:tcW w:w="6025" w:type="dxa"/>
            <w:gridSpan w:val="2"/>
            <w:noWrap w:val="0"/>
            <w:vAlign w:val="center"/>
          </w:tcPr>
          <w:p w14:paraId="185BF662">
            <w:pPr>
              <w:keepNext w:val="0"/>
              <w:keepLines w:val="0"/>
              <w:suppressLineNumbers w:val="0"/>
              <w:spacing w:before="0" w:beforeAutospacing="0" w:after="0" w:afterAutospacing="0" w:line="440" w:lineRule="exact"/>
              <w:ind w:left="0" w:right="0" w:firstLine="420" w:firstLineChars="20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按2.2.4(1)项各评审因素设定的分值评分。</w:t>
            </w:r>
          </w:p>
        </w:tc>
      </w:tr>
      <w:tr w14:paraId="40C0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2294" w:type="dxa"/>
            <w:gridSpan w:val="2"/>
            <w:noWrap w:val="0"/>
            <w:vAlign w:val="center"/>
          </w:tcPr>
          <w:p w14:paraId="1D0AE825">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snapToGrid w:val="0"/>
                <w:color w:val="auto"/>
                <w:kern w:val="0"/>
                <w:szCs w:val="21"/>
                <w:highlight w:val="none"/>
              </w:rPr>
              <w:t>3.2.1（2）</w:t>
            </w:r>
          </w:p>
        </w:tc>
        <w:tc>
          <w:tcPr>
            <w:tcW w:w="1697" w:type="dxa"/>
            <w:gridSpan w:val="2"/>
            <w:noWrap w:val="0"/>
            <w:vAlign w:val="center"/>
          </w:tcPr>
          <w:p w14:paraId="34AA223A">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商务部分（B）</w:t>
            </w:r>
          </w:p>
        </w:tc>
        <w:tc>
          <w:tcPr>
            <w:tcW w:w="6025" w:type="dxa"/>
            <w:gridSpan w:val="2"/>
            <w:noWrap w:val="0"/>
            <w:vAlign w:val="center"/>
          </w:tcPr>
          <w:p w14:paraId="69016B73">
            <w:pPr>
              <w:keepNext w:val="0"/>
              <w:keepLines w:val="0"/>
              <w:suppressLineNumbers w:val="0"/>
              <w:spacing w:before="0" w:beforeAutospacing="0" w:after="0" w:afterAutospacing="0" w:line="440" w:lineRule="exact"/>
              <w:ind w:left="0" w:right="0" w:firstLine="420" w:firstLineChars="20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按2.2.4(2)项各评审因素设定的分值评分。</w:t>
            </w:r>
          </w:p>
        </w:tc>
      </w:tr>
      <w:tr w14:paraId="53E23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2294" w:type="dxa"/>
            <w:gridSpan w:val="2"/>
            <w:noWrap w:val="0"/>
            <w:vAlign w:val="center"/>
          </w:tcPr>
          <w:p w14:paraId="51E89EBA">
            <w:pPr>
              <w:keepNext w:val="0"/>
              <w:keepLines w:val="0"/>
              <w:suppressLineNumbers w:val="0"/>
              <w:spacing w:before="0" w:beforeAutospacing="0" w:after="0" w:afterAutospacing="0" w:line="440" w:lineRule="exact"/>
              <w:ind w:left="0" w:right="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3.2.1（</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w:t>
            </w:r>
          </w:p>
        </w:tc>
        <w:tc>
          <w:tcPr>
            <w:tcW w:w="1697" w:type="dxa"/>
            <w:gridSpan w:val="2"/>
            <w:noWrap w:val="0"/>
            <w:vAlign w:val="center"/>
          </w:tcPr>
          <w:p w14:paraId="14060DBF">
            <w:pPr>
              <w:keepNext w:val="0"/>
              <w:keepLines w:val="0"/>
              <w:suppressLineNumbers w:val="0"/>
              <w:spacing w:before="0" w:beforeAutospacing="0" w:after="0" w:afterAutospacing="0" w:line="440" w:lineRule="exact"/>
              <w:ind w:left="0" w:right="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商务部分（</w:t>
            </w:r>
            <w:r>
              <w:rPr>
                <w:rFonts w:hint="eastAsia" w:ascii="宋体" w:hAnsi="宋体" w:cs="宋体"/>
                <w:snapToGrid w:val="0"/>
                <w:color w:val="auto"/>
                <w:kern w:val="0"/>
                <w:szCs w:val="21"/>
                <w:highlight w:val="none"/>
                <w:lang w:val="en-US" w:eastAsia="zh-CN"/>
              </w:rPr>
              <w:t>C</w:t>
            </w:r>
            <w:r>
              <w:rPr>
                <w:rFonts w:hint="eastAsia" w:ascii="宋体" w:hAnsi="宋体" w:cs="宋体"/>
                <w:snapToGrid w:val="0"/>
                <w:color w:val="auto"/>
                <w:kern w:val="0"/>
                <w:szCs w:val="21"/>
                <w:highlight w:val="none"/>
              </w:rPr>
              <w:t>）</w:t>
            </w:r>
          </w:p>
        </w:tc>
        <w:tc>
          <w:tcPr>
            <w:tcW w:w="6025" w:type="dxa"/>
            <w:gridSpan w:val="2"/>
            <w:noWrap w:val="0"/>
            <w:vAlign w:val="center"/>
          </w:tcPr>
          <w:p w14:paraId="072A54C8">
            <w:pPr>
              <w:keepNext w:val="0"/>
              <w:keepLines w:val="0"/>
              <w:suppressLineNumbers w:val="0"/>
              <w:spacing w:before="0" w:beforeAutospacing="0" w:after="0" w:afterAutospacing="0" w:line="440" w:lineRule="exact"/>
              <w:ind w:left="0" w:right="0" w:firstLine="420" w:firstLineChars="20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按2.2.4(</w:t>
            </w:r>
            <w:r>
              <w:rPr>
                <w:rFonts w:hint="eastAsia" w:ascii="宋体" w:hAnsi="宋体" w:cs="宋体"/>
                <w:snapToGrid w:val="0"/>
                <w:color w:val="auto"/>
                <w:kern w:val="0"/>
                <w:szCs w:val="21"/>
                <w:highlight w:val="none"/>
                <w:lang w:val="en-US" w:eastAsia="zh-CN"/>
              </w:rPr>
              <w:t>3</w:t>
            </w:r>
            <w:r>
              <w:rPr>
                <w:rFonts w:hint="eastAsia" w:ascii="宋体" w:hAnsi="宋体" w:cs="宋体"/>
                <w:snapToGrid w:val="0"/>
                <w:color w:val="auto"/>
                <w:kern w:val="0"/>
                <w:szCs w:val="21"/>
                <w:highlight w:val="none"/>
              </w:rPr>
              <w:t>)项各评审因素设定的分值评分。</w:t>
            </w:r>
          </w:p>
        </w:tc>
      </w:tr>
      <w:tr w14:paraId="52D2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2294" w:type="dxa"/>
            <w:gridSpan w:val="2"/>
            <w:noWrap w:val="0"/>
            <w:vAlign w:val="center"/>
          </w:tcPr>
          <w:p w14:paraId="2DBE2EA5">
            <w:pPr>
              <w:keepNext w:val="0"/>
              <w:keepLines w:val="0"/>
              <w:suppressLineNumbers w:val="0"/>
              <w:spacing w:before="0" w:beforeAutospacing="0" w:after="0" w:afterAutospacing="0" w:line="440" w:lineRule="exact"/>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3.2.3</w:t>
            </w:r>
          </w:p>
        </w:tc>
        <w:tc>
          <w:tcPr>
            <w:tcW w:w="1697" w:type="dxa"/>
            <w:gridSpan w:val="2"/>
            <w:noWrap w:val="0"/>
            <w:vAlign w:val="center"/>
          </w:tcPr>
          <w:p w14:paraId="07E79849">
            <w:pPr>
              <w:keepNext w:val="0"/>
              <w:keepLines w:val="0"/>
              <w:suppressLineNumbers w:val="0"/>
              <w:spacing w:before="0" w:beforeAutospacing="0" w:after="0" w:afterAutospacing="0" w:line="440" w:lineRule="exact"/>
              <w:ind w:left="0" w:right="0"/>
              <w:jc w:val="center"/>
              <w:rPr>
                <w:rFonts w:hint="eastAsia" w:ascii="宋体" w:hAnsi="宋体" w:cs="宋体"/>
                <w:color w:val="auto"/>
                <w:kern w:val="0"/>
                <w:szCs w:val="21"/>
                <w:highlight w:val="none"/>
              </w:rPr>
            </w:pPr>
            <w:r>
              <w:rPr>
                <w:rFonts w:hint="eastAsia" w:ascii="宋体" w:hAnsi="宋体" w:cs="宋体"/>
                <w:snapToGrid w:val="0"/>
                <w:color w:val="auto"/>
                <w:kern w:val="0"/>
                <w:szCs w:val="21"/>
                <w:highlight w:val="none"/>
              </w:rPr>
              <w:t>投标人得分</w:t>
            </w:r>
          </w:p>
        </w:tc>
        <w:tc>
          <w:tcPr>
            <w:tcW w:w="6025" w:type="dxa"/>
            <w:gridSpan w:val="2"/>
            <w:noWrap w:val="0"/>
            <w:vAlign w:val="center"/>
          </w:tcPr>
          <w:p w14:paraId="04B85352">
            <w:pPr>
              <w:keepNext w:val="0"/>
              <w:keepLines w:val="0"/>
              <w:suppressLineNumbers w:val="0"/>
              <w:spacing w:before="0" w:beforeAutospacing="0" w:after="0" w:afterAutospacing="0" w:line="44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snapToGrid w:val="0"/>
                <w:color w:val="auto"/>
                <w:kern w:val="0"/>
                <w:szCs w:val="21"/>
                <w:highlight w:val="none"/>
              </w:rPr>
              <w:t>投标人得分 = A+B</w:t>
            </w:r>
            <w:r>
              <w:rPr>
                <w:rFonts w:hint="eastAsia" w:ascii="宋体" w:hAnsi="宋体" w:cs="宋体"/>
                <w:snapToGrid w:val="0"/>
                <w:color w:val="auto"/>
                <w:kern w:val="0"/>
                <w:szCs w:val="21"/>
                <w:highlight w:val="none"/>
                <w:lang w:val="en-US" w:eastAsia="zh-CN"/>
              </w:rPr>
              <w:t>+C</w:t>
            </w:r>
          </w:p>
        </w:tc>
      </w:tr>
    </w:tbl>
    <w:p w14:paraId="6CE20C78">
      <w:pPr>
        <w:adjustRightInd w:val="0"/>
        <w:snapToGrid w:val="0"/>
        <w:spacing w:line="360" w:lineRule="auto"/>
        <w:ind w:firstLine="420" w:firstLineChars="200"/>
        <w:rPr>
          <w:rFonts w:ascii="宋体" w:hAnsi="宋体"/>
          <w:color w:val="auto"/>
          <w:szCs w:val="21"/>
          <w:highlight w:val="none"/>
        </w:rPr>
      </w:pPr>
    </w:p>
    <w:p w14:paraId="456C68B7">
      <w:pPr>
        <w:pStyle w:val="4"/>
        <w:spacing w:line="440" w:lineRule="exact"/>
        <w:rPr>
          <w:rFonts w:hint="eastAsia" w:ascii="宋体" w:hAnsi="宋体" w:eastAsia="宋体" w:cs="宋体"/>
          <w:color w:val="auto"/>
          <w:szCs w:val="21"/>
          <w:highlight w:val="none"/>
        </w:rPr>
      </w:pPr>
      <w:r>
        <w:rPr>
          <w:color w:val="auto"/>
          <w:szCs w:val="21"/>
          <w:highlight w:val="none"/>
        </w:rPr>
        <w:br w:type="page"/>
      </w:r>
      <w:r>
        <w:rPr>
          <w:rFonts w:hint="eastAsia" w:ascii="宋体" w:hAnsi="宋体" w:eastAsia="宋体" w:cs="宋体"/>
          <w:color w:val="auto"/>
          <w:sz w:val="24"/>
          <w:szCs w:val="24"/>
          <w:highlight w:val="none"/>
        </w:rPr>
        <w:t>1.  评标方法</w:t>
      </w:r>
    </w:p>
    <w:p w14:paraId="1AA6A2AF">
      <w:pPr>
        <w:autoSpaceDE w:val="0"/>
        <w:autoSpaceDN w:val="0"/>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本次评标采用综合评估法</w:t>
      </w:r>
      <w:r>
        <w:rPr>
          <w:rFonts w:hint="eastAsia" w:ascii="宋体" w:hAnsi="宋体" w:cs="宋体"/>
          <w:color w:val="auto"/>
          <w:spacing w:val="-47"/>
          <w:kern w:val="0"/>
          <w:szCs w:val="21"/>
          <w:highlight w:val="none"/>
        </w:rPr>
        <w:t>。</w:t>
      </w:r>
      <w:r>
        <w:rPr>
          <w:rFonts w:hint="eastAsia" w:ascii="宋体" w:hAnsi="宋体" w:cs="宋体"/>
          <w:color w:val="auto"/>
          <w:kern w:val="0"/>
          <w:szCs w:val="21"/>
          <w:highlight w:val="none"/>
        </w:rPr>
        <w:t>评标委员会对满足招标文件实质性要求的投标文件</w:t>
      </w:r>
      <w:r>
        <w:rPr>
          <w:rFonts w:hint="eastAsia" w:ascii="宋体" w:hAnsi="宋体" w:cs="宋体"/>
          <w:color w:val="auto"/>
          <w:spacing w:val="-47"/>
          <w:kern w:val="0"/>
          <w:szCs w:val="21"/>
          <w:highlight w:val="none"/>
        </w:rPr>
        <w:t>，</w:t>
      </w:r>
      <w:r>
        <w:rPr>
          <w:rFonts w:hint="eastAsia" w:ascii="宋体" w:hAnsi="宋体" w:cs="宋体"/>
          <w:color w:val="auto"/>
          <w:kern w:val="0"/>
          <w:szCs w:val="21"/>
          <w:highlight w:val="none"/>
        </w:rPr>
        <w:t xml:space="preserve">按照本章第 </w:t>
      </w:r>
      <w:r>
        <w:rPr>
          <w:rFonts w:hint="eastAsia" w:ascii="宋体" w:hAnsi="宋体" w:cs="宋体"/>
          <w:color w:val="auto"/>
          <w:spacing w:val="1"/>
          <w:kern w:val="0"/>
          <w:szCs w:val="21"/>
          <w:highlight w:val="none"/>
        </w:rPr>
        <w:t>2</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2</w:t>
      </w:r>
      <w:r>
        <w:rPr>
          <w:rFonts w:hint="eastAsia" w:ascii="宋体" w:hAnsi="宋体" w:cs="宋体"/>
          <w:color w:val="auto"/>
          <w:spacing w:val="1"/>
          <w:kern w:val="0"/>
          <w:szCs w:val="21"/>
          <w:highlight w:val="none"/>
        </w:rPr>
        <w:t xml:space="preserve"> </w:t>
      </w:r>
      <w:r>
        <w:rPr>
          <w:rFonts w:hint="eastAsia" w:ascii="宋体" w:hAnsi="宋体" w:cs="宋体"/>
          <w:color w:val="auto"/>
          <w:kern w:val="0"/>
          <w:szCs w:val="21"/>
          <w:highlight w:val="none"/>
        </w:rPr>
        <w:t>款</w:t>
      </w:r>
      <w:r>
        <w:rPr>
          <w:rFonts w:hint="eastAsia" w:ascii="宋体" w:hAnsi="宋体" w:cs="宋体"/>
          <w:color w:val="auto"/>
          <w:spacing w:val="-1"/>
          <w:kern w:val="0"/>
          <w:szCs w:val="21"/>
          <w:highlight w:val="none"/>
        </w:rPr>
        <w:t>规</w:t>
      </w:r>
      <w:r>
        <w:rPr>
          <w:rFonts w:hint="eastAsia" w:ascii="宋体" w:hAnsi="宋体" w:cs="宋体"/>
          <w:color w:val="auto"/>
          <w:kern w:val="0"/>
          <w:szCs w:val="21"/>
          <w:highlight w:val="none"/>
        </w:rPr>
        <w:t>定的评分标准进行打分，按得分由高到低顺序推荐中标候选人</w:t>
      </w:r>
      <w:r>
        <w:rPr>
          <w:rFonts w:hint="eastAsia" w:ascii="宋体" w:hAnsi="宋体" w:cs="宋体"/>
          <w:color w:val="auto"/>
          <w:spacing w:val="-20"/>
          <w:kern w:val="0"/>
          <w:szCs w:val="21"/>
          <w:highlight w:val="none"/>
        </w:rPr>
        <w:t>，</w:t>
      </w:r>
      <w:r>
        <w:rPr>
          <w:rFonts w:hint="eastAsia" w:ascii="宋体" w:hAnsi="宋体" w:cs="宋体"/>
          <w:color w:val="auto"/>
          <w:kern w:val="0"/>
          <w:szCs w:val="21"/>
          <w:highlight w:val="none"/>
        </w:rPr>
        <w:t>或根据招标人授权直接确定中标人</w:t>
      </w:r>
      <w:r>
        <w:rPr>
          <w:rFonts w:hint="eastAsia" w:ascii="宋体" w:hAnsi="宋体" w:cs="宋体"/>
          <w:color w:val="auto"/>
          <w:spacing w:val="-31"/>
          <w:kern w:val="0"/>
          <w:szCs w:val="21"/>
          <w:highlight w:val="none"/>
        </w:rPr>
        <w:t>，</w:t>
      </w:r>
      <w:r>
        <w:rPr>
          <w:rFonts w:hint="eastAsia" w:ascii="宋体" w:hAnsi="宋体" w:cs="宋体"/>
          <w:color w:val="auto"/>
          <w:kern w:val="0"/>
          <w:szCs w:val="21"/>
          <w:highlight w:val="none"/>
        </w:rPr>
        <w:t>但投标报价低于其成本的除外</w:t>
      </w:r>
      <w:r>
        <w:rPr>
          <w:rFonts w:hint="eastAsia" w:ascii="宋体" w:hAnsi="宋体" w:cs="宋体"/>
          <w:color w:val="auto"/>
          <w:spacing w:val="-31"/>
          <w:kern w:val="0"/>
          <w:szCs w:val="21"/>
          <w:highlight w:val="none"/>
        </w:rPr>
        <w:t>。</w:t>
      </w:r>
      <w:r>
        <w:rPr>
          <w:rFonts w:hint="eastAsia" w:ascii="宋体" w:hAnsi="宋体" w:cs="宋体"/>
          <w:color w:val="auto"/>
          <w:kern w:val="0"/>
          <w:szCs w:val="21"/>
          <w:highlight w:val="none"/>
        </w:rPr>
        <w:t>综合评分相等时</w:t>
      </w:r>
      <w:r>
        <w:rPr>
          <w:rFonts w:hint="eastAsia" w:ascii="宋体" w:hAnsi="宋体" w:cs="宋体"/>
          <w:color w:val="auto"/>
          <w:spacing w:val="-31"/>
          <w:kern w:val="0"/>
          <w:szCs w:val="21"/>
          <w:highlight w:val="none"/>
        </w:rPr>
        <w:t>，</w:t>
      </w:r>
      <w:r>
        <w:rPr>
          <w:rFonts w:hint="eastAsia" w:ascii="宋体" w:hAnsi="宋体" w:cs="宋体"/>
          <w:color w:val="auto"/>
          <w:kern w:val="0"/>
          <w:szCs w:val="21"/>
          <w:highlight w:val="none"/>
        </w:rPr>
        <w:t>以投标报价低的优先；投标报价也相等的，由招标人自行确定。</w:t>
      </w:r>
    </w:p>
    <w:p w14:paraId="38BD9AEF">
      <w:pPr>
        <w:pStyle w:val="4"/>
        <w:spacing w:line="240" w:lineRule="auto"/>
        <w:rPr>
          <w:rFonts w:hint="eastAsia" w:ascii="宋体" w:hAnsi="宋体" w:eastAsia="宋体" w:cs="宋体"/>
          <w:color w:val="auto"/>
          <w:sz w:val="24"/>
          <w:szCs w:val="24"/>
          <w:highlight w:val="none"/>
        </w:rPr>
      </w:pPr>
      <w:bookmarkStart w:id="534" w:name="_Toc200513199"/>
      <w:bookmarkStart w:id="535" w:name="_Toc224103385"/>
      <w:bookmarkStart w:id="536" w:name="_Toc277082619"/>
      <w:bookmarkStart w:id="537" w:name="_Toc384829239"/>
      <w:bookmarkStart w:id="538" w:name="_Toc389663497"/>
      <w:bookmarkStart w:id="539" w:name="_Toc287607813"/>
      <w:r>
        <w:rPr>
          <w:rFonts w:hint="eastAsia" w:ascii="宋体" w:hAnsi="宋体" w:eastAsia="宋体" w:cs="宋体"/>
          <w:color w:val="auto"/>
          <w:sz w:val="24"/>
          <w:szCs w:val="24"/>
          <w:highlight w:val="none"/>
        </w:rPr>
        <w:t>2.  评审标准</w:t>
      </w:r>
      <w:bookmarkEnd w:id="534"/>
      <w:bookmarkEnd w:id="535"/>
      <w:bookmarkEnd w:id="536"/>
      <w:bookmarkEnd w:id="537"/>
      <w:bookmarkEnd w:id="538"/>
      <w:bookmarkEnd w:id="539"/>
    </w:p>
    <w:p w14:paraId="5EC6B983">
      <w:pPr>
        <w:pStyle w:val="5"/>
        <w:spacing w:before="0" w:line="240" w:lineRule="auto"/>
        <w:ind w:firstLine="422" w:firstLineChars="200"/>
        <w:rPr>
          <w:rFonts w:hint="eastAsia" w:ascii="宋体" w:hAnsi="宋体" w:eastAsia="宋体" w:cs="宋体"/>
          <w:color w:val="auto"/>
          <w:sz w:val="21"/>
          <w:szCs w:val="21"/>
          <w:highlight w:val="none"/>
        </w:rPr>
      </w:pPr>
      <w:bookmarkStart w:id="540" w:name="_Toc200513200"/>
      <w:bookmarkStart w:id="541" w:name="_Toc389663498"/>
      <w:bookmarkStart w:id="542" w:name="_Toc384829240"/>
      <w:bookmarkStart w:id="543" w:name="_Toc277082620"/>
      <w:bookmarkStart w:id="544" w:name="_Toc224103386"/>
      <w:bookmarkStart w:id="545" w:name="_Toc287607814"/>
      <w:r>
        <w:rPr>
          <w:rFonts w:hint="eastAsia" w:ascii="宋体" w:hAnsi="宋体" w:eastAsia="宋体" w:cs="宋体"/>
          <w:color w:val="auto"/>
          <w:sz w:val="21"/>
          <w:szCs w:val="21"/>
          <w:highlight w:val="none"/>
        </w:rPr>
        <w:t>2.1  初步评审标准</w:t>
      </w:r>
      <w:bookmarkEnd w:id="540"/>
      <w:bookmarkEnd w:id="541"/>
      <w:bookmarkEnd w:id="542"/>
      <w:bookmarkEnd w:id="543"/>
      <w:bookmarkEnd w:id="544"/>
      <w:bookmarkEnd w:id="545"/>
    </w:p>
    <w:p w14:paraId="44413ABF">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2.1.1  形式评审标准：见评标办法前附表。</w:t>
      </w:r>
    </w:p>
    <w:p w14:paraId="7F41022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2.1.2  资格评审标准：见评标办法前附表。</w:t>
      </w:r>
    </w:p>
    <w:p w14:paraId="5563399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2.1.3  响应性评审标准：见评标办法前附表。</w:t>
      </w:r>
    </w:p>
    <w:p w14:paraId="74B743B5">
      <w:pPr>
        <w:pStyle w:val="5"/>
        <w:spacing w:before="0" w:line="360" w:lineRule="auto"/>
        <w:ind w:firstLine="422" w:firstLineChars="200"/>
        <w:rPr>
          <w:rFonts w:hint="eastAsia" w:ascii="宋体" w:hAnsi="宋体" w:eastAsia="宋体" w:cs="宋体"/>
          <w:color w:val="auto"/>
          <w:sz w:val="21"/>
          <w:szCs w:val="21"/>
          <w:highlight w:val="none"/>
        </w:rPr>
      </w:pPr>
      <w:bookmarkStart w:id="546" w:name="_Toc277082621"/>
      <w:bookmarkStart w:id="547" w:name="_Toc384829241"/>
      <w:bookmarkStart w:id="548" w:name="_Toc389663499"/>
      <w:bookmarkStart w:id="549" w:name="_Toc200513201"/>
      <w:bookmarkStart w:id="550" w:name="_Toc287607815"/>
      <w:bookmarkStart w:id="551" w:name="_Toc224103387"/>
      <w:r>
        <w:rPr>
          <w:rFonts w:hint="eastAsia" w:ascii="宋体" w:hAnsi="宋体" w:eastAsia="宋体" w:cs="宋体"/>
          <w:color w:val="auto"/>
          <w:sz w:val="21"/>
          <w:szCs w:val="21"/>
          <w:highlight w:val="none"/>
        </w:rPr>
        <w:t>2.2  分值构成与评分标准</w:t>
      </w:r>
      <w:bookmarkEnd w:id="546"/>
      <w:bookmarkEnd w:id="547"/>
      <w:bookmarkEnd w:id="548"/>
      <w:bookmarkEnd w:id="549"/>
      <w:bookmarkEnd w:id="550"/>
      <w:bookmarkEnd w:id="551"/>
    </w:p>
    <w:p w14:paraId="47688A9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  分值构成</w:t>
      </w:r>
    </w:p>
    <w:p w14:paraId="5119E21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（1）投标报价：见评标办法前附表；</w:t>
      </w:r>
    </w:p>
    <w:p w14:paraId="49497F0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（2）商务部分：见评标办法前附表</w:t>
      </w:r>
    </w:p>
    <w:p w14:paraId="7066D8D3">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技术</w:t>
      </w:r>
      <w:r>
        <w:rPr>
          <w:rFonts w:hint="eastAsia" w:ascii="宋体" w:hAnsi="宋体" w:cs="宋体"/>
          <w:color w:val="auto"/>
          <w:kern w:val="0"/>
          <w:szCs w:val="21"/>
          <w:highlight w:val="none"/>
        </w:rPr>
        <w:t>部分：见评标办法前附表</w:t>
      </w:r>
    </w:p>
    <w:p w14:paraId="00172BD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2.2.2  评标基准价计算</w:t>
      </w:r>
    </w:p>
    <w:p w14:paraId="38D0454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评标基准价计算方法：见评标办法前附表。</w:t>
      </w:r>
    </w:p>
    <w:p w14:paraId="13E343A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2.2.3  投标报价的偏差率计算：见评标办法前附表。</w:t>
      </w:r>
    </w:p>
    <w:p w14:paraId="20F1482E">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2.2.4  评分标准</w:t>
      </w:r>
    </w:p>
    <w:p w14:paraId="4CC6020A">
      <w:pPr>
        <w:autoSpaceDE w:val="0"/>
        <w:autoSpaceDN w:val="0"/>
        <w:spacing w:line="360" w:lineRule="auto"/>
        <w:ind w:firstLine="420" w:firstLineChars="200"/>
        <w:jc w:val="left"/>
        <w:rPr>
          <w:rFonts w:hint="eastAsia" w:ascii="宋体" w:hAnsi="宋体" w:cs="宋体"/>
          <w:color w:val="auto"/>
          <w:kern w:val="0"/>
          <w:szCs w:val="21"/>
          <w:highlight w:val="none"/>
        </w:rPr>
      </w:pPr>
      <w:bookmarkStart w:id="552" w:name="_Toc277082622"/>
      <w:bookmarkStart w:id="553" w:name="_Toc384829242"/>
      <w:bookmarkStart w:id="554" w:name="_Toc389663500"/>
      <w:bookmarkStart w:id="555" w:name="_Toc287607816"/>
      <w:bookmarkStart w:id="556" w:name="_Toc200513202"/>
      <w:bookmarkStart w:id="557" w:name="_Toc224103388"/>
      <w:r>
        <w:rPr>
          <w:rFonts w:hint="eastAsia" w:ascii="宋体" w:hAnsi="宋体" w:cs="宋体"/>
          <w:color w:val="auto"/>
          <w:kern w:val="0"/>
          <w:szCs w:val="21"/>
          <w:highlight w:val="none"/>
        </w:rPr>
        <w:t>（1）投标报价评分标准：见评标办法前附表；</w:t>
      </w:r>
    </w:p>
    <w:p w14:paraId="09CE1ADC">
      <w:pPr>
        <w:autoSpaceDE w:val="0"/>
        <w:autoSpaceDN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（2）商务部分评分标准：见评标办法前附表</w:t>
      </w:r>
      <w:r>
        <w:rPr>
          <w:rFonts w:ascii="宋体" w:hAnsi="宋体" w:cs="宋体"/>
          <w:color w:val="auto"/>
          <w:kern w:val="0"/>
          <w:szCs w:val="21"/>
          <w:highlight w:val="none"/>
        </w:rPr>
        <w:t>。</w:t>
      </w:r>
    </w:p>
    <w:p w14:paraId="160F43EC">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技术</w:t>
      </w:r>
      <w:r>
        <w:rPr>
          <w:rFonts w:hint="eastAsia" w:ascii="宋体" w:hAnsi="宋体" w:cs="宋体"/>
          <w:color w:val="auto"/>
          <w:kern w:val="0"/>
          <w:szCs w:val="21"/>
          <w:highlight w:val="none"/>
        </w:rPr>
        <w:t>部分：见评标办法前附表</w:t>
      </w:r>
    </w:p>
    <w:p w14:paraId="33E6B118">
      <w:pPr>
        <w:pStyle w:val="4"/>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评标程序</w:t>
      </w:r>
      <w:bookmarkEnd w:id="552"/>
      <w:bookmarkEnd w:id="553"/>
      <w:bookmarkEnd w:id="554"/>
      <w:bookmarkEnd w:id="555"/>
      <w:bookmarkEnd w:id="556"/>
      <w:bookmarkEnd w:id="557"/>
    </w:p>
    <w:p w14:paraId="546BCC7F">
      <w:pPr>
        <w:pStyle w:val="5"/>
        <w:spacing w:before="0" w:line="240" w:lineRule="auto"/>
        <w:ind w:firstLine="422" w:firstLineChars="200"/>
        <w:rPr>
          <w:rFonts w:hint="eastAsia" w:ascii="宋体" w:hAnsi="宋体" w:eastAsia="宋体" w:cs="宋体"/>
          <w:color w:val="auto"/>
          <w:sz w:val="21"/>
          <w:szCs w:val="21"/>
          <w:highlight w:val="none"/>
        </w:rPr>
      </w:pPr>
      <w:bookmarkStart w:id="558" w:name="_Toc200513203"/>
      <w:bookmarkStart w:id="559" w:name="_Toc287607817"/>
      <w:bookmarkStart w:id="560" w:name="_Toc389663501"/>
      <w:bookmarkStart w:id="561" w:name="_Toc277082623"/>
      <w:bookmarkStart w:id="562" w:name="_Toc224103389"/>
      <w:bookmarkStart w:id="563" w:name="_Toc384829243"/>
      <w:r>
        <w:rPr>
          <w:rFonts w:hint="eastAsia" w:ascii="宋体" w:hAnsi="宋体" w:eastAsia="宋体" w:cs="宋体"/>
          <w:color w:val="auto"/>
          <w:sz w:val="21"/>
          <w:szCs w:val="21"/>
          <w:highlight w:val="none"/>
        </w:rPr>
        <w:t>3.1  初步评审</w:t>
      </w:r>
      <w:bookmarkEnd w:id="558"/>
      <w:bookmarkEnd w:id="559"/>
      <w:bookmarkEnd w:id="560"/>
      <w:bookmarkEnd w:id="561"/>
      <w:bookmarkEnd w:id="562"/>
      <w:bookmarkEnd w:id="563"/>
    </w:p>
    <w:p w14:paraId="73015D5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3.1.1  评标委员会要求投标人必须提交第二章“投标人须知”规定的有关证明和证件的原件，以便核验。评标委员会依据本章第 2.1 款规定的标准对投标文件进行初步评审。有一项不符合评审标准的，作否决投标处理。</w:t>
      </w:r>
    </w:p>
    <w:p w14:paraId="289CE00C">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3.1.2  投标人有以下情形之一的，其投标作否决处理：</w:t>
      </w:r>
    </w:p>
    <w:p w14:paraId="3B6EDBA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（1）第二章“投标人须知”第 1.4.3 项规定的任何一种情形的；</w:t>
      </w:r>
    </w:p>
    <w:p w14:paraId="30B7FEBD">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（2）串通投标或弄虚作假或有其他违法行为的；</w:t>
      </w:r>
    </w:p>
    <w:p w14:paraId="3C19B51F">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（3）不按评标委员会要求澄清、说明或补正的。</w:t>
      </w:r>
    </w:p>
    <w:p w14:paraId="7E04194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（4）本招标文件约定的其他情形。</w:t>
      </w:r>
    </w:p>
    <w:p w14:paraId="48C3E2A3">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3.1.3  投标报价有算术错误的，评标委员会按以下原则对投标报价进行修正，修正的价格经投标人书面确认后具有约束力。投标人不接受修正价格的，其投标作否决处理。</w:t>
      </w:r>
    </w:p>
    <w:p w14:paraId="058383AA">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（1）投标文件中的大写金额与小写金额不一致的，以大写金额为准；</w:t>
      </w:r>
    </w:p>
    <w:p w14:paraId="16DDF2A1">
      <w:pPr>
        <w:pStyle w:val="5"/>
        <w:spacing w:before="0" w:line="360" w:lineRule="auto"/>
        <w:ind w:firstLine="422" w:firstLineChars="200"/>
        <w:rPr>
          <w:rFonts w:hint="eastAsia" w:ascii="宋体" w:hAnsi="宋体" w:eastAsia="宋体" w:cs="宋体"/>
          <w:color w:val="auto"/>
          <w:sz w:val="21"/>
          <w:szCs w:val="21"/>
          <w:highlight w:val="none"/>
        </w:rPr>
      </w:pPr>
      <w:bookmarkStart w:id="564" w:name="_Toc224103390"/>
      <w:bookmarkStart w:id="565" w:name="_Toc277082624"/>
      <w:bookmarkStart w:id="566" w:name="_Toc200513204"/>
      <w:bookmarkStart w:id="567" w:name="_Toc389663502"/>
      <w:bookmarkStart w:id="568" w:name="_Toc287607818"/>
      <w:bookmarkStart w:id="569" w:name="_Toc384829244"/>
      <w:r>
        <w:rPr>
          <w:rFonts w:hint="eastAsia" w:ascii="宋体" w:hAnsi="宋体" w:eastAsia="宋体" w:cs="宋体"/>
          <w:color w:val="auto"/>
          <w:sz w:val="21"/>
          <w:szCs w:val="21"/>
          <w:highlight w:val="none"/>
        </w:rPr>
        <w:t>3.2  详细评审</w:t>
      </w:r>
      <w:bookmarkEnd w:id="564"/>
      <w:bookmarkEnd w:id="565"/>
      <w:bookmarkEnd w:id="566"/>
      <w:bookmarkEnd w:id="567"/>
      <w:bookmarkEnd w:id="568"/>
      <w:bookmarkEnd w:id="569"/>
    </w:p>
    <w:p w14:paraId="493EC553">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3.2.1  评标委员会按本章第2.2款规定的量化因素和分值进行打分，并计算出综合评估得分。</w:t>
      </w:r>
    </w:p>
    <w:p w14:paraId="0CA1687B">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（1）按本章第 2.2.4（1）目规定的评审因素和分值对投标报价计算出得分A；</w:t>
      </w:r>
    </w:p>
    <w:p w14:paraId="5D81E081">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（2）按本章第 2.2.4（2）目规定的评审因素和分值对商务部分计算出得分B。</w:t>
      </w:r>
    </w:p>
    <w:p w14:paraId="60035030">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）按本章第 2.2.4（</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）目规定的评审因素和分值对商务部分计算出得分</w:t>
      </w:r>
      <w:r>
        <w:rPr>
          <w:rFonts w:hint="eastAsia" w:ascii="宋体" w:hAnsi="宋体" w:cs="宋体"/>
          <w:color w:val="auto"/>
          <w:kern w:val="0"/>
          <w:szCs w:val="21"/>
          <w:highlight w:val="none"/>
          <w:lang w:val="en-US" w:eastAsia="zh-CN"/>
        </w:rPr>
        <w:t>C</w:t>
      </w:r>
      <w:r>
        <w:rPr>
          <w:rFonts w:hint="eastAsia" w:ascii="宋体" w:hAnsi="宋体" w:cs="宋体"/>
          <w:color w:val="auto"/>
          <w:kern w:val="0"/>
          <w:szCs w:val="21"/>
          <w:highlight w:val="none"/>
        </w:rPr>
        <w:t>。</w:t>
      </w:r>
    </w:p>
    <w:p w14:paraId="7951D335">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3.2.2  评分分值计算保留小数点后两位，小数点后第三位“四舍五入”。</w:t>
      </w:r>
    </w:p>
    <w:p w14:paraId="04B58D96">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3.2.3  投标人得分=A+B</w:t>
      </w:r>
      <w:r>
        <w:rPr>
          <w:rFonts w:hint="eastAsia" w:ascii="宋体" w:hAnsi="宋体" w:cs="宋体"/>
          <w:color w:val="auto"/>
          <w:kern w:val="0"/>
          <w:szCs w:val="21"/>
          <w:highlight w:val="none"/>
          <w:lang w:val="en-US" w:eastAsia="zh-CN"/>
        </w:rPr>
        <w:t>+C</w:t>
      </w:r>
      <w:r>
        <w:rPr>
          <w:rFonts w:hint="eastAsia" w:ascii="宋体" w:hAnsi="宋体" w:cs="宋体"/>
          <w:color w:val="auto"/>
          <w:kern w:val="0"/>
          <w:szCs w:val="21"/>
          <w:highlight w:val="none"/>
        </w:rPr>
        <w:t>。</w:t>
      </w:r>
    </w:p>
    <w:p w14:paraId="4C60E2F1">
      <w:pPr>
        <w:pStyle w:val="5"/>
        <w:spacing w:before="0" w:line="360" w:lineRule="auto"/>
        <w:ind w:firstLine="422" w:firstLineChars="200"/>
        <w:rPr>
          <w:rFonts w:hint="eastAsia" w:ascii="宋体" w:hAnsi="宋体" w:eastAsia="宋体" w:cs="宋体"/>
          <w:color w:val="auto"/>
          <w:sz w:val="21"/>
          <w:szCs w:val="21"/>
          <w:highlight w:val="none"/>
        </w:rPr>
      </w:pPr>
      <w:bookmarkStart w:id="570" w:name="_Toc200513205"/>
      <w:bookmarkStart w:id="571" w:name="_Toc384829245"/>
      <w:bookmarkStart w:id="572" w:name="_Toc224103391"/>
      <w:bookmarkStart w:id="573" w:name="_Toc389663503"/>
      <w:bookmarkStart w:id="574" w:name="_Toc287607819"/>
      <w:bookmarkStart w:id="575" w:name="_Toc277082625"/>
      <w:r>
        <w:rPr>
          <w:rFonts w:hint="eastAsia" w:ascii="宋体" w:hAnsi="宋体" w:eastAsia="宋体" w:cs="宋体"/>
          <w:color w:val="auto"/>
          <w:sz w:val="21"/>
          <w:szCs w:val="21"/>
          <w:highlight w:val="none"/>
        </w:rPr>
        <w:t>3.3  投标文件的澄清和补正</w:t>
      </w:r>
      <w:bookmarkEnd w:id="570"/>
      <w:bookmarkEnd w:id="571"/>
      <w:bookmarkEnd w:id="572"/>
      <w:bookmarkEnd w:id="573"/>
      <w:bookmarkEnd w:id="574"/>
      <w:bookmarkEnd w:id="575"/>
    </w:p>
    <w:p w14:paraId="6F3F11C8">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0143A9A4">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3.3.2  澄清、说明和补正不得改变投标文件的实质性内容（算术性错误修正的除外）。投标人的书面澄清、说明和补正属于投标文件的组成部分。</w:t>
      </w:r>
    </w:p>
    <w:p w14:paraId="21204B8C">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3.3.3  评标委员会对投标人提交的澄清、说明或补正有疑问的，可以要求投标人进一步澄清、说明或补正，直至满足评标委员会的要求。</w:t>
      </w:r>
    </w:p>
    <w:p w14:paraId="118DF13E">
      <w:pPr>
        <w:pStyle w:val="5"/>
        <w:spacing w:before="0" w:line="360" w:lineRule="auto"/>
        <w:ind w:firstLine="422" w:firstLineChars="200"/>
        <w:rPr>
          <w:rFonts w:hint="eastAsia" w:ascii="宋体" w:hAnsi="宋体" w:eastAsia="宋体" w:cs="宋体"/>
          <w:color w:val="auto"/>
          <w:sz w:val="21"/>
          <w:szCs w:val="21"/>
          <w:highlight w:val="none"/>
        </w:rPr>
      </w:pPr>
      <w:bookmarkStart w:id="576" w:name="_Toc389663504"/>
      <w:bookmarkStart w:id="577" w:name="_Toc200513206"/>
      <w:bookmarkStart w:id="578" w:name="_Toc287607820"/>
      <w:bookmarkStart w:id="579" w:name="_Toc384829246"/>
      <w:bookmarkStart w:id="580" w:name="_Toc224103392"/>
      <w:bookmarkStart w:id="581" w:name="_Toc277082626"/>
      <w:r>
        <w:rPr>
          <w:rFonts w:hint="eastAsia" w:ascii="宋体" w:hAnsi="宋体" w:eastAsia="宋体" w:cs="宋体"/>
          <w:color w:val="auto"/>
          <w:sz w:val="21"/>
          <w:szCs w:val="21"/>
          <w:highlight w:val="none"/>
        </w:rPr>
        <w:t>3.4  评标结果</w:t>
      </w:r>
      <w:bookmarkEnd w:id="576"/>
      <w:bookmarkEnd w:id="577"/>
      <w:bookmarkEnd w:id="578"/>
      <w:bookmarkEnd w:id="579"/>
      <w:bookmarkEnd w:id="580"/>
      <w:bookmarkEnd w:id="581"/>
    </w:p>
    <w:p w14:paraId="0C866CCC">
      <w:pPr>
        <w:autoSpaceDE w:val="0"/>
        <w:autoSpaceDN w:val="0"/>
        <w:adjustRightInd w:val="0"/>
        <w:snapToGrid w:val="0"/>
        <w:spacing w:line="360" w:lineRule="auto"/>
        <w:ind w:firstLine="420" w:firstLineChars="200"/>
        <w:jc w:val="left"/>
        <w:rPr>
          <w:rFonts w:hint="eastAsia" w:ascii="宋体" w:hAnsi="宋体" w:cs="宋体"/>
          <w:color w:val="auto"/>
          <w:spacing w:val="1"/>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pacing w:val="-1"/>
          <w:kern w:val="0"/>
          <w:szCs w:val="21"/>
          <w:highlight w:val="none"/>
        </w:rPr>
        <w:t>4</w:t>
      </w:r>
      <w:r>
        <w:rPr>
          <w:rFonts w:hint="eastAsia" w:ascii="宋体" w:hAnsi="宋体" w:cs="宋体"/>
          <w:color w:val="auto"/>
          <w:kern w:val="0"/>
          <w:szCs w:val="21"/>
          <w:highlight w:val="none"/>
        </w:rPr>
        <w:t xml:space="preserve">.1 </w:t>
      </w:r>
      <w:r>
        <w:rPr>
          <w:rFonts w:hint="eastAsia" w:ascii="宋体" w:hAnsi="宋体" w:cs="宋体"/>
          <w:color w:val="auto"/>
          <w:spacing w:val="1"/>
          <w:kern w:val="0"/>
          <w:szCs w:val="21"/>
          <w:highlight w:val="none"/>
        </w:rPr>
        <w:t xml:space="preserve"> </w:t>
      </w:r>
      <w:r>
        <w:rPr>
          <w:rFonts w:hint="eastAsia" w:ascii="宋体" w:hAnsi="宋体" w:cs="宋体"/>
          <w:color w:val="auto"/>
          <w:kern w:val="0"/>
          <w:szCs w:val="21"/>
          <w:highlight w:val="none"/>
        </w:rPr>
        <w:t>除第二章“投标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须知”前</w:t>
      </w:r>
      <w:r>
        <w:rPr>
          <w:rFonts w:hint="eastAsia" w:ascii="宋体" w:hAnsi="宋体" w:cs="宋体"/>
          <w:color w:val="auto"/>
          <w:spacing w:val="1"/>
          <w:kern w:val="0"/>
          <w:szCs w:val="21"/>
          <w:highlight w:val="none"/>
        </w:rPr>
        <w:t>附</w:t>
      </w:r>
      <w:r>
        <w:rPr>
          <w:rFonts w:hint="eastAsia" w:ascii="宋体" w:hAnsi="宋体" w:cs="宋体"/>
          <w:color w:val="auto"/>
          <w:kern w:val="0"/>
          <w:szCs w:val="21"/>
          <w:highlight w:val="none"/>
        </w:rPr>
        <w:t>表授权直</w:t>
      </w:r>
      <w:r>
        <w:rPr>
          <w:rFonts w:hint="eastAsia" w:ascii="宋体" w:hAnsi="宋体" w:cs="宋体"/>
          <w:color w:val="auto"/>
          <w:spacing w:val="1"/>
          <w:kern w:val="0"/>
          <w:szCs w:val="21"/>
          <w:highlight w:val="none"/>
        </w:rPr>
        <w:t>接</w:t>
      </w:r>
      <w:r>
        <w:rPr>
          <w:rFonts w:hint="eastAsia" w:ascii="宋体" w:hAnsi="宋体" w:cs="宋体"/>
          <w:color w:val="auto"/>
          <w:kern w:val="0"/>
          <w:szCs w:val="21"/>
          <w:highlight w:val="none"/>
        </w:rPr>
        <w:t>确定中标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外，评标</w:t>
      </w:r>
      <w:r>
        <w:rPr>
          <w:rFonts w:hint="eastAsia" w:ascii="宋体" w:hAnsi="宋体" w:cs="宋体"/>
          <w:color w:val="auto"/>
          <w:spacing w:val="1"/>
          <w:kern w:val="0"/>
          <w:szCs w:val="21"/>
          <w:highlight w:val="none"/>
        </w:rPr>
        <w:t>委</w:t>
      </w:r>
      <w:r>
        <w:rPr>
          <w:rFonts w:hint="eastAsia" w:ascii="宋体" w:hAnsi="宋体" w:cs="宋体"/>
          <w:color w:val="auto"/>
          <w:kern w:val="0"/>
          <w:szCs w:val="21"/>
          <w:highlight w:val="none"/>
        </w:rPr>
        <w:t>员会按照</w:t>
      </w:r>
      <w:r>
        <w:rPr>
          <w:rFonts w:hint="eastAsia" w:ascii="宋体" w:hAnsi="宋体" w:cs="宋体"/>
          <w:color w:val="auto"/>
          <w:spacing w:val="1"/>
          <w:kern w:val="0"/>
          <w:szCs w:val="21"/>
          <w:highlight w:val="none"/>
        </w:rPr>
        <w:t>得分</w:t>
      </w:r>
      <w:r>
        <w:rPr>
          <w:rFonts w:hint="eastAsia" w:ascii="宋体" w:hAnsi="宋体" w:cs="宋体"/>
          <w:color w:val="auto"/>
          <w:kern w:val="0"/>
          <w:szCs w:val="21"/>
          <w:highlight w:val="none"/>
        </w:rPr>
        <w:t>由高到低的顺序推荐中标候选人。</w:t>
      </w:r>
      <w:r>
        <w:rPr>
          <w:rFonts w:hint="eastAsia" w:ascii="宋体" w:hAnsi="宋体" w:cs="宋体"/>
          <w:color w:val="auto"/>
          <w:spacing w:val="1"/>
          <w:kern w:val="0"/>
          <w:szCs w:val="21"/>
          <w:highlight w:val="none"/>
        </w:rPr>
        <w:t xml:space="preserve"> </w:t>
      </w:r>
    </w:p>
    <w:p w14:paraId="64952575">
      <w:pPr>
        <w:autoSpaceDE w:val="0"/>
        <w:autoSpaceDN w:val="0"/>
        <w:adjustRightInd w:val="0"/>
        <w:snapToGrid w:val="0"/>
        <w:spacing w:line="360" w:lineRule="auto"/>
        <w:ind w:firstLine="424" w:firstLineChars="200"/>
        <w:jc w:val="left"/>
        <w:rPr>
          <w:rFonts w:hint="eastAsia" w:ascii="宋体" w:hAnsi="宋体" w:cs="宋体"/>
          <w:color w:val="auto"/>
          <w:kern w:val="0"/>
          <w:szCs w:val="21"/>
          <w:highlight w:val="none"/>
        </w:rPr>
      </w:pPr>
      <w:r>
        <w:rPr>
          <w:rFonts w:hint="eastAsia" w:ascii="宋体" w:hAnsi="宋体" w:cs="宋体"/>
          <w:color w:val="auto"/>
          <w:spacing w:val="1"/>
          <w:kern w:val="0"/>
          <w:szCs w:val="21"/>
          <w:highlight w:val="none"/>
        </w:rPr>
        <w:t>3</w:t>
      </w:r>
      <w:r>
        <w:rPr>
          <w:rFonts w:hint="eastAsia" w:ascii="宋体" w:hAnsi="宋体" w:cs="宋体"/>
          <w:color w:val="auto"/>
          <w:kern w:val="0"/>
          <w:szCs w:val="21"/>
          <w:highlight w:val="none"/>
        </w:rPr>
        <w:t>.4.2  评标</w:t>
      </w:r>
      <w:r>
        <w:rPr>
          <w:rFonts w:hint="eastAsia" w:ascii="宋体" w:hAnsi="宋体" w:cs="宋体"/>
          <w:color w:val="auto"/>
          <w:spacing w:val="-1"/>
          <w:kern w:val="0"/>
          <w:szCs w:val="21"/>
          <w:highlight w:val="none"/>
        </w:rPr>
        <w:t>委</w:t>
      </w:r>
      <w:r>
        <w:rPr>
          <w:rFonts w:hint="eastAsia" w:ascii="宋体" w:hAnsi="宋体" w:cs="宋体"/>
          <w:color w:val="auto"/>
          <w:kern w:val="0"/>
          <w:szCs w:val="21"/>
          <w:highlight w:val="none"/>
        </w:rPr>
        <w:t>员会完成评标后，应当向招标人提交书面评标报告。</w:t>
      </w:r>
    </w:p>
    <w:p w14:paraId="29CE4203">
      <w:pPr>
        <w:adjustRightInd w:val="0"/>
        <w:snapToGrid w:val="0"/>
        <w:spacing w:line="360" w:lineRule="auto"/>
        <w:ind w:firstLine="420" w:firstLineChars="200"/>
        <w:jc w:val="left"/>
        <w:rPr>
          <w:rFonts w:ascii="宋体" w:hAnsi="宋体" w:cs="宋体"/>
          <w:color w:val="auto"/>
          <w:szCs w:val="21"/>
          <w:highlight w:val="none"/>
        </w:rPr>
      </w:pPr>
    </w:p>
    <w:p w14:paraId="23169310">
      <w:pPr>
        <w:adjustRightInd w:val="0"/>
        <w:snapToGrid w:val="0"/>
        <w:spacing w:line="360" w:lineRule="auto"/>
        <w:rPr>
          <w:rFonts w:ascii="宋体" w:hAnsi="宋体"/>
          <w:color w:val="auto"/>
          <w:szCs w:val="21"/>
          <w:highlight w:val="none"/>
        </w:rPr>
      </w:pPr>
    </w:p>
    <w:p w14:paraId="7A5EAF0C">
      <w:pPr>
        <w:autoSpaceDE w:val="0"/>
        <w:autoSpaceDN w:val="0"/>
        <w:adjustRightInd w:val="0"/>
        <w:snapToGrid w:val="0"/>
        <w:spacing w:line="440" w:lineRule="exact"/>
        <w:ind w:left="1" w:firstLine="535" w:firstLineChars="255"/>
        <w:jc w:val="center"/>
        <w:outlineLvl w:val="1"/>
        <w:rPr>
          <w:rFonts w:hint="eastAsia" w:ascii="宋体" w:hAnsi="宋体"/>
          <w:b/>
          <w:bCs/>
          <w:color w:val="auto"/>
          <w:sz w:val="28"/>
          <w:szCs w:val="28"/>
          <w:highlight w:val="none"/>
        </w:rPr>
      </w:pPr>
      <w:r>
        <w:rPr>
          <w:bCs w:val="0"/>
          <w:snapToGrid w:val="0"/>
          <w:color w:val="auto"/>
          <w:highlight w:val="none"/>
        </w:rPr>
        <w:br w:type="page"/>
      </w:r>
      <w:bookmarkStart w:id="582" w:name="_Toc494103414"/>
      <w:r>
        <w:rPr>
          <w:rFonts w:hint="eastAsia" w:ascii="宋体" w:hAnsi="宋体"/>
          <w:b/>
          <w:bCs/>
          <w:color w:val="auto"/>
          <w:sz w:val="28"/>
          <w:szCs w:val="28"/>
          <w:highlight w:val="none"/>
        </w:rPr>
        <w:t>附件A：综合评估法否决投标情况一览表</w:t>
      </w:r>
      <w:bookmarkEnd w:id="582"/>
    </w:p>
    <w:p w14:paraId="02094BD4">
      <w:pPr>
        <w:pStyle w:val="33"/>
        <w:spacing w:line="360" w:lineRule="auto"/>
        <w:jc w:val="both"/>
        <w:rPr>
          <w:rFonts w:hint="eastAsia" w:hAnsi="宋体"/>
          <w:b w:val="0"/>
          <w:bCs/>
          <w:color w:val="auto"/>
          <w:sz w:val="24"/>
          <w:highlight w:val="none"/>
          <w:lang w:eastAsia="zh-CN"/>
        </w:rPr>
      </w:pPr>
      <w:r>
        <w:rPr>
          <w:rFonts w:hint="eastAsia" w:hAnsi="宋体"/>
          <w:b w:val="0"/>
          <w:bCs/>
          <w:color w:val="auto"/>
          <w:sz w:val="24"/>
          <w:highlight w:val="none"/>
          <w:lang w:eastAsia="zh-CN"/>
        </w:rPr>
        <w:t>一览表否决投标条件之外的评标委员会不得判为重大偏差。</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413"/>
        <w:gridCol w:w="6099"/>
      </w:tblGrid>
      <w:tr w14:paraId="0823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31" w:type="dxa"/>
            <w:noWrap w:val="0"/>
            <w:vAlign w:val="top"/>
          </w:tcPr>
          <w:p w14:paraId="1957534C">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r>
              <w:rPr>
                <w:rFonts w:hint="eastAsia" w:ascii="宋体" w:hAnsi="宋体"/>
                <w:b w:val="0"/>
                <w:bCs/>
                <w:color w:val="auto"/>
                <w:szCs w:val="21"/>
                <w:highlight w:val="none"/>
              </w:rPr>
              <w:t>招标文件章节号</w:t>
            </w:r>
          </w:p>
        </w:tc>
        <w:tc>
          <w:tcPr>
            <w:tcW w:w="1413" w:type="dxa"/>
            <w:noWrap w:val="0"/>
            <w:vAlign w:val="top"/>
          </w:tcPr>
          <w:p w14:paraId="654BF8EF">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条款名称</w:t>
            </w:r>
          </w:p>
        </w:tc>
        <w:tc>
          <w:tcPr>
            <w:tcW w:w="6099" w:type="dxa"/>
            <w:noWrap w:val="0"/>
            <w:vAlign w:val="top"/>
          </w:tcPr>
          <w:p w14:paraId="52A37DE1">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否决投标条件</w:t>
            </w:r>
          </w:p>
        </w:tc>
      </w:tr>
      <w:tr w14:paraId="7812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7DC0C2D5">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第二章3.2</w:t>
            </w:r>
          </w:p>
        </w:tc>
        <w:tc>
          <w:tcPr>
            <w:tcW w:w="1413" w:type="dxa"/>
            <w:noWrap w:val="0"/>
            <w:vAlign w:val="center"/>
          </w:tcPr>
          <w:p w14:paraId="78BF399D">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投标报价</w:t>
            </w:r>
          </w:p>
        </w:tc>
        <w:tc>
          <w:tcPr>
            <w:tcW w:w="6099" w:type="dxa"/>
            <w:noWrap w:val="0"/>
            <w:vAlign w:val="top"/>
          </w:tcPr>
          <w:p w14:paraId="69E2E7F7">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b w:val="0"/>
                <w:bCs/>
                <w:color w:val="auto"/>
                <w:szCs w:val="21"/>
                <w:highlight w:val="none"/>
              </w:rPr>
              <w:t>投标报价不得高于最高限价，否则其投标将被否决。</w:t>
            </w:r>
          </w:p>
        </w:tc>
      </w:tr>
      <w:tr w14:paraId="1EB93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600707DC">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第二章3.4</w:t>
            </w:r>
          </w:p>
        </w:tc>
        <w:tc>
          <w:tcPr>
            <w:tcW w:w="1413" w:type="dxa"/>
            <w:noWrap w:val="0"/>
            <w:vAlign w:val="center"/>
          </w:tcPr>
          <w:p w14:paraId="01FA34C8">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投标保证金</w:t>
            </w:r>
          </w:p>
        </w:tc>
        <w:tc>
          <w:tcPr>
            <w:tcW w:w="6099" w:type="dxa"/>
            <w:noWrap w:val="0"/>
            <w:vAlign w:val="top"/>
          </w:tcPr>
          <w:p w14:paraId="306DF80E">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ascii="宋体" w:hAnsi="宋体"/>
                <w:b w:val="0"/>
                <w:bCs/>
                <w:color w:val="auto"/>
                <w:szCs w:val="21"/>
                <w:highlight w:val="none"/>
              </w:rPr>
              <w:t>按本章第 3.4项要求提交投标保证金的，</w:t>
            </w:r>
            <w:r>
              <w:rPr>
                <w:rFonts w:hint="eastAsia" w:ascii="宋体" w:hAnsi="宋体" w:cs="MingLiU"/>
                <w:b w:val="0"/>
                <w:bCs/>
                <w:snapToGrid w:val="0"/>
                <w:color w:val="auto"/>
                <w:kern w:val="0"/>
                <w:szCs w:val="21"/>
                <w:highlight w:val="none"/>
              </w:rPr>
              <w:t>否则其投标文件将被否决。</w:t>
            </w:r>
          </w:p>
        </w:tc>
      </w:tr>
      <w:tr w14:paraId="14FE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0A7BA7E5">
            <w:pPr>
              <w:keepNext w:val="0"/>
              <w:keepLines w:val="0"/>
              <w:suppressLineNumbers w:val="0"/>
              <w:spacing w:before="0" w:beforeAutospacing="0" w:after="0" w:afterAutospacing="0" w:line="360" w:lineRule="auto"/>
              <w:ind w:left="0" w:right="0"/>
              <w:jc w:val="center"/>
              <w:rPr>
                <w:rFonts w:hint="eastAsia" w:ascii="宋体" w:hAnsi="宋体"/>
                <w:b w:val="0"/>
                <w:bCs/>
                <w:color w:val="auto"/>
                <w:szCs w:val="21"/>
                <w:highlight w:val="none"/>
              </w:rPr>
            </w:pPr>
            <w:r>
              <w:rPr>
                <w:rFonts w:hint="eastAsia" w:ascii="宋体" w:hAnsi="宋体"/>
                <w:b w:val="0"/>
                <w:bCs/>
                <w:color w:val="auto"/>
                <w:szCs w:val="21"/>
                <w:highlight w:val="none"/>
              </w:rPr>
              <w:t>第二章3.7.3</w:t>
            </w:r>
          </w:p>
        </w:tc>
        <w:tc>
          <w:tcPr>
            <w:tcW w:w="1413" w:type="dxa"/>
            <w:noWrap w:val="0"/>
            <w:vAlign w:val="center"/>
          </w:tcPr>
          <w:p w14:paraId="32FBA933">
            <w:pPr>
              <w:keepNext w:val="0"/>
              <w:keepLines w:val="0"/>
              <w:suppressLineNumbers w:val="0"/>
              <w:spacing w:before="0" w:beforeAutospacing="0" w:after="0" w:afterAutospacing="0" w:line="360" w:lineRule="auto"/>
              <w:ind w:left="0" w:right="0"/>
              <w:jc w:val="center"/>
              <w:rPr>
                <w:rFonts w:hint="eastAsia" w:ascii="宋体" w:hAnsi="宋体"/>
                <w:b w:val="0"/>
                <w:bCs/>
                <w:color w:val="auto"/>
                <w:szCs w:val="21"/>
                <w:highlight w:val="none"/>
              </w:rPr>
            </w:pPr>
            <w:r>
              <w:rPr>
                <w:rFonts w:hint="eastAsia" w:ascii="宋体" w:hAnsi="宋体" w:cs="宋体"/>
                <w:b w:val="0"/>
                <w:bCs/>
                <w:color w:val="auto"/>
                <w:kern w:val="0"/>
                <w:szCs w:val="21"/>
                <w:highlight w:val="none"/>
              </w:rPr>
              <w:t>签字和盖章要求</w:t>
            </w:r>
          </w:p>
        </w:tc>
        <w:tc>
          <w:tcPr>
            <w:tcW w:w="6099" w:type="dxa"/>
            <w:noWrap w:val="0"/>
            <w:vAlign w:val="top"/>
          </w:tcPr>
          <w:p w14:paraId="048E14ED">
            <w:pPr>
              <w:keepNext w:val="0"/>
              <w:keepLines w:val="0"/>
              <w:suppressLineNumbers w:val="0"/>
              <w:spacing w:before="0" w:beforeAutospacing="0" w:after="0" w:afterAutospacing="0" w:line="360" w:lineRule="auto"/>
              <w:ind w:left="0" w:right="0" w:firstLine="420" w:firstLineChars="200"/>
              <w:rPr>
                <w:rFonts w:hint="eastAsia" w:ascii="宋体" w:hAnsi="宋体" w:cs="MingLiU"/>
                <w:b w:val="0"/>
                <w:bCs/>
                <w:snapToGrid w:val="0"/>
                <w:color w:val="auto"/>
                <w:kern w:val="0"/>
                <w:szCs w:val="21"/>
                <w:highlight w:val="none"/>
              </w:rPr>
            </w:pPr>
            <w:r>
              <w:rPr>
                <w:rFonts w:hint="eastAsia" w:ascii="宋体" w:hAnsi="宋体" w:cs="MingLiU"/>
                <w:b w:val="0"/>
                <w:bCs/>
                <w:snapToGrid w:val="0"/>
                <w:color w:val="auto"/>
                <w:kern w:val="0"/>
                <w:szCs w:val="21"/>
                <w:highlight w:val="none"/>
              </w:rPr>
              <w:t>按本章投标人须知3.7.3款执行，否则其投标文件将被否决。</w:t>
            </w:r>
          </w:p>
        </w:tc>
      </w:tr>
      <w:tr w14:paraId="6E89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restart"/>
            <w:noWrap w:val="0"/>
            <w:vAlign w:val="center"/>
          </w:tcPr>
          <w:p w14:paraId="6F866C34">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第三章3.1</w:t>
            </w:r>
          </w:p>
        </w:tc>
        <w:tc>
          <w:tcPr>
            <w:tcW w:w="1413" w:type="dxa"/>
            <w:vMerge w:val="restart"/>
            <w:noWrap w:val="0"/>
            <w:vAlign w:val="center"/>
          </w:tcPr>
          <w:p w14:paraId="230AB4AE">
            <w:pPr>
              <w:keepNext w:val="0"/>
              <w:keepLines w:val="0"/>
              <w:suppressLineNumbers w:val="0"/>
              <w:spacing w:before="0" w:beforeAutospacing="0" w:after="0" w:afterAutospacing="0" w:line="360" w:lineRule="auto"/>
              <w:ind w:left="0" w:right="0"/>
              <w:jc w:val="center"/>
              <w:rPr>
                <w:rFonts w:hint="default" w:ascii="宋体" w:hAnsi="宋体"/>
                <w:b w:val="0"/>
                <w:bCs/>
                <w:color w:val="auto"/>
                <w:szCs w:val="21"/>
                <w:highlight w:val="none"/>
              </w:rPr>
            </w:pPr>
            <w:r>
              <w:rPr>
                <w:rFonts w:hint="eastAsia" w:ascii="宋体" w:hAnsi="宋体"/>
                <w:b w:val="0"/>
                <w:bCs/>
                <w:color w:val="auto"/>
                <w:szCs w:val="21"/>
                <w:highlight w:val="none"/>
              </w:rPr>
              <w:t>初步评审</w:t>
            </w:r>
          </w:p>
        </w:tc>
        <w:tc>
          <w:tcPr>
            <w:tcW w:w="6099" w:type="dxa"/>
            <w:noWrap w:val="0"/>
            <w:vAlign w:val="top"/>
          </w:tcPr>
          <w:p w14:paraId="374DC757">
            <w:pPr>
              <w:keepNext w:val="0"/>
              <w:keepLines w:val="0"/>
              <w:suppressLineNumbers w:val="0"/>
              <w:spacing w:before="0" w:beforeAutospacing="0" w:after="0" w:afterAutospacing="0" w:line="360" w:lineRule="auto"/>
              <w:ind w:left="0" w:right="0" w:firstLine="420" w:firstLineChars="200"/>
              <w:rPr>
                <w:rFonts w:hint="default" w:ascii="宋体" w:hAnsi="宋体" w:cs="MingLiU"/>
                <w:b w:val="0"/>
                <w:bCs/>
                <w:snapToGrid w:val="0"/>
                <w:color w:val="auto"/>
                <w:kern w:val="0"/>
                <w:szCs w:val="21"/>
                <w:highlight w:val="none"/>
              </w:rPr>
            </w:pPr>
            <w:r>
              <w:rPr>
                <w:rFonts w:hint="eastAsia" w:ascii="宋体" w:hAnsi="宋体" w:cs="MingLiU"/>
                <w:b w:val="0"/>
                <w:bCs/>
                <w:snapToGrid w:val="0"/>
                <w:color w:val="auto"/>
                <w:kern w:val="0"/>
                <w:szCs w:val="21"/>
                <w:highlight w:val="none"/>
              </w:rPr>
              <w:t>评标委员会依据本章第</w:t>
            </w:r>
            <w:r>
              <w:rPr>
                <w:rFonts w:hint="default" w:ascii="宋体" w:hAnsi="宋体" w:cs="MingLiU"/>
                <w:b w:val="0"/>
                <w:bCs/>
                <w:snapToGrid w:val="0"/>
                <w:color w:val="auto"/>
                <w:kern w:val="0"/>
                <w:szCs w:val="21"/>
                <w:highlight w:val="none"/>
              </w:rPr>
              <w:t xml:space="preserve"> 2.1 </w:t>
            </w:r>
            <w:r>
              <w:rPr>
                <w:rFonts w:hint="eastAsia" w:ascii="宋体" w:hAnsi="宋体" w:cs="MingLiU"/>
                <w:b w:val="0"/>
                <w:bCs/>
                <w:snapToGrid w:val="0"/>
                <w:color w:val="auto"/>
                <w:kern w:val="0"/>
                <w:szCs w:val="21"/>
                <w:highlight w:val="none"/>
              </w:rPr>
              <w:t>款规定的标准对投标文件进行初步评审。有一项不符合评审标准的，作否决投标处理［提示：适用于未进行资格预审的］。</w:t>
            </w:r>
          </w:p>
        </w:tc>
      </w:tr>
      <w:tr w14:paraId="1A4F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noWrap w:val="0"/>
            <w:vAlign w:val="top"/>
          </w:tcPr>
          <w:p w14:paraId="5974BC20">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1413" w:type="dxa"/>
            <w:vMerge w:val="continue"/>
            <w:noWrap w:val="0"/>
            <w:vAlign w:val="top"/>
          </w:tcPr>
          <w:p w14:paraId="00FABC1F">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6099" w:type="dxa"/>
            <w:noWrap w:val="0"/>
            <w:vAlign w:val="top"/>
          </w:tcPr>
          <w:p w14:paraId="0410DB80">
            <w:pPr>
              <w:keepNext w:val="0"/>
              <w:keepLines w:val="0"/>
              <w:suppressLineNumbers w:val="0"/>
              <w:autoSpaceDE w:val="0"/>
              <w:autoSpaceDN w:val="0"/>
              <w:adjustRightInd w:val="0"/>
              <w:snapToGrid w:val="0"/>
              <w:spacing w:before="0" w:beforeAutospacing="0" w:after="0" w:afterAutospacing="0" w:line="360" w:lineRule="auto"/>
              <w:ind w:left="0" w:right="0" w:firstLine="420" w:firstLineChars="200"/>
              <w:jc w:val="left"/>
              <w:rPr>
                <w:rFonts w:hint="default" w:ascii="宋体" w:hAnsi="宋体" w:cs="MingLiU"/>
                <w:b w:val="0"/>
                <w:bCs/>
                <w:color w:val="auto"/>
                <w:kern w:val="0"/>
                <w:szCs w:val="21"/>
                <w:highlight w:val="none"/>
              </w:rPr>
            </w:pPr>
            <w:r>
              <w:rPr>
                <w:rFonts w:hint="eastAsia" w:ascii="宋体" w:hAnsi="宋体" w:cs="MingLiU"/>
                <w:b w:val="0"/>
                <w:bCs/>
                <w:color w:val="auto"/>
                <w:kern w:val="0"/>
                <w:szCs w:val="21"/>
                <w:highlight w:val="none"/>
              </w:rPr>
              <w:t>投标</w:t>
            </w:r>
            <w:r>
              <w:rPr>
                <w:rFonts w:hint="eastAsia" w:ascii="宋体" w:hAnsi="宋体" w:cs="MingLiU"/>
                <w:b w:val="0"/>
                <w:bCs/>
                <w:color w:val="auto"/>
                <w:spacing w:val="-1"/>
                <w:kern w:val="0"/>
                <w:szCs w:val="21"/>
                <w:highlight w:val="none"/>
              </w:rPr>
              <w:t>人</w:t>
            </w:r>
            <w:r>
              <w:rPr>
                <w:rFonts w:hint="eastAsia" w:ascii="宋体" w:hAnsi="宋体" w:cs="MingLiU"/>
                <w:b w:val="0"/>
                <w:bCs/>
                <w:color w:val="auto"/>
                <w:kern w:val="0"/>
                <w:szCs w:val="21"/>
                <w:highlight w:val="none"/>
              </w:rPr>
              <w:t>有以下情形之一的，其投标作</w:t>
            </w:r>
            <w:r>
              <w:rPr>
                <w:rFonts w:hint="eastAsia" w:ascii="宋体" w:hAnsi="宋体" w:cs="MingLiU"/>
                <w:b w:val="0"/>
                <w:bCs/>
                <w:snapToGrid w:val="0"/>
                <w:color w:val="auto"/>
                <w:kern w:val="0"/>
                <w:szCs w:val="21"/>
                <w:highlight w:val="none"/>
              </w:rPr>
              <w:t>否决投标处理</w:t>
            </w:r>
            <w:r>
              <w:rPr>
                <w:rFonts w:hint="eastAsia" w:ascii="宋体" w:hAnsi="宋体" w:cs="MingLiU"/>
                <w:b w:val="0"/>
                <w:bCs/>
                <w:color w:val="auto"/>
                <w:kern w:val="0"/>
                <w:szCs w:val="21"/>
                <w:highlight w:val="none"/>
              </w:rPr>
              <w:t>：</w:t>
            </w:r>
          </w:p>
          <w:p w14:paraId="4CC73202">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s="MingLiU"/>
                <w:b w:val="0"/>
                <w:bCs/>
                <w:color w:val="auto"/>
                <w:kern w:val="0"/>
                <w:szCs w:val="21"/>
                <w:highlight w:val="none"/>
              </w:rPr>
            </w:pPr>
            <w:r>
              <w:rPr>
                <w:rFonts w:hint="eastAsia" w:ascii="宋体" w:hAnsi="宋体" w:cs="MingLiU"/>
                <w:b w:val="0"/>
                <w:bCs/>
                <w:color w:val="auto"/>
                <w:kern w:val="0"/>
                <w:szCs w:val="21"/>
                <w:highlight w:val="none"/>
              </w:rPr>
              <w:t>（</w:t>
            </w:r>
            <w:r>
              <w:rPr>
                <w:rFonts w:hint="default" w:ascii="宋体" w:hAnsi="宋体"/>
                <w:b w:val="0"/>
                <w:bCs/>
                <w:color w:val="auto"/>
                <w:spacing w:val="1"/>
                <w:kern w:val="0"/>
                <w:szCs w:val="21"/>
                <w:highlight w:val="none"/>
              </w:rPr>
              <w:t>1</w:t>
            </w:r>
            <w:r>
              <w:rPr>
                <w:rFonts w:hint="eastAsia" w:ascii="宋体" w:hAnsi="宋体" w:cs="MingLiU"/>
                <w:b w:val="0"/>
                <w:bCs/>
                <w:color w:val="auto"/>
                <w:kern w:val="0"/>
                <w:szCs w:val="21"/>
                <w:highlight w:val="none"/>
              </w:rPr>
              <w:t>）第二</w:t>
            </w:r>
            <w:r>
              <w:rPr>
                <w:rFonts w:hint="eastAsia" w:ascii="宋体" w:hAnsi="宋体" w:cs="MingLiU"/>
                <w:b w:val="0"/>
                <w:bCs/>
                <w:color w:val="auto"/>
                <w:spacing w:val="-1"/>
                <w:kern w:val="0"/>
                <w:szCs w:val="21"/>
                <w:highlight w:val="none"/>
              </w:rPr>
              <w:t>章</w:t>
            </w:r>
            <w:r>
              <w:rPr>
                <w:rFonts w:hint="eastAsia" w:ascii="宋体" w:hAnsi="宋体" w:cs="MingLiU"/>
                <w:b w:val="0"/>
                <w:bCs/>
                <w:color w:val="auto"/>
                <w:kern w:val="0"/>
                <w:szCs w:val="21"/>
                <w:highlight w:val="none"/>
              </w:rPr>
              <w:t>“投标人须知”第</w:t>
            </w:r>
            <w:r>
              <w:rPr>
                <w:rFonts w:hint="default" w:ascii="宋体" w:hAnsi="宋体"/>
                <w:b w:val="0"/>
                <w:bCs/>
                <w:color w:val="auto"/>
                <w:kern w:val="0"/>
                <w:szCs w:val="21"/>
                <w:highlight w:val="none"/>
              </w:rPr>
              <w:t xml:space="preserve"> </w:t>
            </w:r>
            <w:r>
              <w:rPr>
                <w:rFonts w:hint="default" w:ascii="宋体" w:hAnsi="宋体"/>
                <w:b w:val="0"/>
                <w:bCs/>
                <w:color w:val="auto"/>
                <w:spacing w:val="1"/>
                <w:kern w:val="0"/>
                <w:szCs w:val="21"/>
                <w:highlight w:val="none"/>
              </w:rPr>
              <w:t>1</w:t>
            </w:r>
            <w:r>
              <w:rPr>
                <w:rFonts w:hint="default" w:ascii="宋体" w:hAnsi="宋体"/>
                <w:b w:val="0"/>
                <w:bCs/>
                <w:color w:val="auto"/>
                <w:spacing w:val="-1"/>
                <w:kern w:val="0"/>
                <w:szCs w:val="21"/>
                <w:highlight w:val="none"/>
              </w:rPr>
              <w:t>.</w:t>
            </w:r>
            <w:r>
              <w:rPr>
                <w:rFonts w:hint="default" w:ascii="宋体" w:hAnsi="宋体"/>
                <w:b w:val="0"/>
                <w:bCs/>
                <w:color w:val="auto"/>
                <w:spacing w:val="1"/>
                <w:kern w:val="0"/>
                <w:szCs w:val="21"/>
                <w:highlight w:val="none"/>
              </w:rPr>
              <w:t>4</w:t>
            </w:r>
            <w:r>
              <w:rPr>
                <w:rFonts w:hint="default" w:ascii="宋体" w:hAnsi="宋体"/>
                <w:b w:val="0"/>
                <w:bCs/>
                <w:color w:val="auto"/>
                <w:spacing w:val="-1"/>
                <w:kern w:val="0"/>
                <w:szCs w:val="21"/>
                <w:highlight w:val="none"/>
              </w:rPr>
              <w:t>.</w:t>
            </w:r>
            <w:r>
              <w:rPr>
                <w:rFonts w:hint="default" w:ascii="宋体" w:hAnsi="宋体"/>
                <w:b w:val="0"/>
                <w:bCs/>
                <w:color w:val="auto"/>
                <w:kern w:val="0"/>
                <w:szCs w:val="21"/>
                <w:highlight w:val="none"/>
              </w:rPr>
              <w:t>3</w:t>
            </w:r>
            <w:r>
              <w:rPr>
                <w:rFonts w:hint="eastAsia" w:ascii="宋体" w:hAnsi="宋体" w:cs="MingLiU"/>
                <w:b w:val="0"/>
                <w:bCs/>
                <w:color w:val="auto"/>
                <w:kern w:val="0"/>
                <w:szCs w:val="21"/>
                <w:highlight w:val="none"/>
              </w:rPr>
              <w:t>项规定的任何一种情形的；</w:t>
            </w:r>
          </w:p>
          <w:p w14:paraId="20316528">
            <w:pPr>
              <w:keepNext w:val="0"/>
              <w:keepLines w:val="0"/>
              <w:suppressLineNumbers w:val="0"/>
              <w:autoSpaceDE w:val="0"/>
              <w:autoSpaceDN w:val="0"/>
              <w:adjustRightInd w:val="0"/>
              <w:snapToGrid w:val="0"/>
              <w:spacing w:before="0" w:beforeAutospacing="0" w:after="0" w:afterAutospacing="0" w:line="360" w:lineRule="auto"/>
              <w:ind w:left="0" w:right="0"/>
              <w:jc w:val="left"/>
              <w:rPr>
                <w:rFonts w:hint="default" w:ascii="宋体" w:hAnsi="宋体" w:cs="MingLiU"/>
                <w:b w:val="0"/>
                <w:bCs/>
                <w:color w:val="auto"/>
                <w:kern w:val="0"/>
                <w:szCs w:val="21"/>
                <w:highlight w:val="none"/>
              </w:rPr>
            </w:pPr>
            <w:r>
              <w:rPr>
                <w:rFonts w:hint="eastAsia" w:ascii="宋体" w:hAnsi="宋体" w:cs="MingLiU"/>
                <w:b w:val="0"/>
                <w:bCs/>
                <w:color w:val="auto"/>
                <w:kern w:val="0"/>
                <w:szCs w:val="21"/>
                <w:highlight w:val="none"/>
              </w:rPr>
              <w:t>（</w:t>
            </w:r>
            <w:r>
              <w:rPr>
                <w:rFonts w:hint="default" w:ascii="宋体" w:hAnsi="宋体"/>
                <w:b w:val="0"/>
                <w:bCs/>
                <w:color w:val="auto"/>
                <w:spacing w:val="1"/>
                <w:kern w:val="0"/>
                <w:szCs w:val="21"/>
                <w:highlight w:val="none"/>
              </w:rPr>
              <w:t>2</w:t>
            </w:r>
            <w:r>
              <w:rPr>
                <w:rFonts w:hint="eastAsia" w:ascii="宋体" w:hAnsi="宋体" w:cs="MingLiU"/>
                <w:b w:val="0"/>
                <w:bCs/>
                <w:color w:val="auto"/>
                <w:kern w:val="0"/>
                <w:szCs w:val="21"/>
                <w:highlight w:val="none"/>
              </w:rPr>
              <w:t>）串通</w:t>
            </w:r>
            <w:r>
              <w:rPr>
                <w:rFonts w:hint="eastAsia" w:ascii="宋体" w:hAnsi="宋体" w:cs="MingLiU"/>
                <w:b w:val="0"/>
                <w:bCs/>
                <w:color w:val="auto"/>
                <w:spacing w:val="-1"/>
                <w:kern w:val="0"/>
                <w:szCs w:val="21"/>
                <w:highlight w:val="none"/>
              </w:rPr>
              <w:t>投</w:t>
            </w:r>
            <w:r>
              <w:rPr>
                <w:rFonts w:hint="eastAsia" w:ascii="宋体" w:hAnsi="宋体" w:cs="MingLiU"/>
                <w:b w:val="0"/>
                <w:bCs/>
                <w:color w:val="auto"/>
                <w:kern w:val="0"/>
                <w:szCs w:val="21"/>
                <w:highlight w:val="none"/>
              </w:rPr>
              <w:t>标或弄虚作假或有其他违法行为的；</w:t>
            </w:r>
          </w:p>
          <w:p w14:paraId="11B30427">
            <w:pPr>
              <w:keepNext w:val="0"/>
              <w:keepLines w:val="0"/>
              <w:suppressLineNumbers w:val="0"/>
              <w:spacing w:before="0" w:beforeAutospacing="0" w:after="0" w:afterAutospacing="0" w:line="360" w:lineRule="auto"/>
              <w:ind w:left="0" w:right="0"/>
              <w:rPr>
                <w:rFonts w:hint="eastAsia" w:ascii="宋体" w:hAnsi="宋体" w:cs="MingLiU"/>
                <w:b w:val="0"/>
                <w:bCs/>
                <w:color w:val="auto"/>
                <w:kern w:val="0"/>
                <w:szCs w:val="21"/>
                <w:highlight w:val="none"/>
              </w:rPr>
            </w:pPr>
            <w:r>
              <w:rPr>
                <w:rFonts w:hint="eastAsia" w:ascii="宋体" w:hAnsi="宋体" w:cs="MingLiU"/>
                <w:b w:val="0"/>
                <w:bCs/>
                <w:color w:val="auto"/>
                <w:kern w:val="0"/>
                <w:szCs w:val="21"/>
                <w:highlight w:val="none"/>
              </w:rPr>
              <w:t>（</w:t>
            </w:r>
            <w:r>
              <w:rPr>
                <w:rFonts w:hint="default" w:ascii="宋体" w:hAnsi="宋体"/>
                <w:b w:val="0"/>
                <w:bCs/>
                <w:color w:val="auto"/>
                <w:spacing w:val="1"/>
                <w:kern w:val="0"/>
                <w:szCs w:val="21"/>
                <w:highlight w:val="none"/>
              </w:rPr>
              <w:t>3</w:t>
            </w:r>
            <w:r>
              <w:rPr>
                <w:rFonts w:hint="eastAsia" w:ascii="宋体" w:hAnsi="宋体" w:cs="MingLiU"/>
                <w:b w:val="0"/>
                <w:bCs/>
                <w:color w:val="auto"/>
                <w:kern w:val="0"/>
                <w:szCs w:val="21"/>
                <w:highlight w:val="none"/>
              </w:rPr>
              <w:t>）不按</w:t>
            </w:r>
            <w:r>
              <w:rPr>
                <w:rFonts w:hint="eastAsia" w:ascii="宋体" w:hAnsi="宋体" w:cs="MingLiU"/>
                <w:b w:val="0"/>
                <w:bCs/>
                <w:color w:val="auto"/>
                <w:spacing w:val="-1"/>
                <w:kern w:val="0"/>
                <w:szCs w:val="21"/>
                <w:highlight w:val="none"/>
              </w:rPr>
              <w:t>评</w:t>
            </w:r>
            <w:r>
              <w:rPr>
                <w:rFonts w:hint="eastAsia" w:ascii="宋体" w:hAnsi="宋体" w:cs="MingLiU"/>
                <w:b w:val="0"/>
                <w:bCs/>
                <w:color w:val="auto"/>
                <w:kern w:val="0"/>
                <w:szCs w:val="21"/>
                <w:highlight w:val="none"/>
              </w:rPr>
              <w:t>标委员会要求澄清、说明或补正的。</w:t>
            </w:r>
          </w:p>
          <w:p w14:paraId="64814928">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r>
              <w:rPr>
                <w:rFonts w:hint="eastAsia" w:ascii="宋体" w:hAnsi="宋体" w:cs="MingLiU"/>
                <w:b w:val="0"/>
                <w:bCs/>
                <w:color w:val="auto"/>
                <w:kern w:val="0"/>
                <w:szCs w:val="21"/>
                <w:highlight w:val="none"/>
              </w:rPr>
              <w:t xml:space="preserve"> </w:t>
            </w:r>
          </w:p>
        </w:tc>
      </w:tr>
      <w:tr w14:paraId="38FE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trPr>
        <w:tc>
          <w:tcPr>
            <w:tcW w:w="1731" w:type="dxa"/>
            <w:vMerge w:val="continue"/>
            <w:noWrap w:val="0"/>
            <w:vAlign w:val="top"/>
          </w:tcPr>
          <w:p w14:paraId="55D250BE">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1413" w:type="dxa"/>
            <w:vMerge w:val="continue"/>
            <w:noWrap w:val="0"/>
            <w:vAlign w:val="top"/>
          </w:tcPr>
          <w:p w14:paraId="61926DF3">
            <w:pPr>
              <w:keepNext w:val="0"/>
              <w:keepLines w:val="0"/>
              <w:suppressLineNumbers w:val="0"/>
              <w:spacing w:before="0" w:beforeAutospacing="0" w:after="0" w:afterAutospacing="0" w:line="360" w:lineRule="auto"/>
              <w:ind w:left="0" w:right="0"/>
              <w:rPr>
                <w:rFonts w:hint="default" w:ascii="宋体" w:hAnsi="宋体"/>
                <w:b w:val="0"/>
                <w:bCs/>
                <w:color w:val="auto"/>
                <w:szCs w:val="21"/>
                <w:highlight w:val="none"/>
              </w:rPr>
            </w:pPr>
          </w:p>
        </w:tc>
        <w:tc>
          <w:tcPr>
            <w:tcW w:w="6099" w:type="dxa"/>
            <w:noWrap w:val="0"/>
            <w:vAlign w:val="top"/>
          </w:tcPr>
          <w:p w14:paraId="2CEAC8B0">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ascii="宋体" w:hAnsi="宋体" w:cs="MingLiU"/>
                <w:b w:val="0"/>
                <w:bCs/>
                <w:color w:val="auto"/>
                <w:kern w:val="0"/>
                <w:szCs w:val="21"/>
                <w:highlight w:val="none"/>
              </w:rPr>
              <w:t>投标报价有算术</w:t>
            </w:r>
            <w:r>
              <w:rPr>
                <w:rFonts w:hint="eastAsia" w:ascii="宋体" w:hAnsi="宋体" w:cs="MingLiU"/>
                <w:b w:val="0"/>
                <w:bCs/>
                <w:color w:val="auto"/>
                <w:spacing w:val="1"/>
                <w:kern w:val="0"/>
                <w:szCs w:val="21"/>
                <w:highlight w:val="none"/>
              </w:rPr>
              <w:t>错</w:t>
            </w:r>
            <w:r>
              <w:rPr>
                <w:rFonts w:hint="eastAsia" w:ascii="宋体" w:hAnsi="宋体" w:cs="MingLiU"/>
                <w:b w:val="0"/>
                <w:bCs/>
                <w:color w:val="auto"/>
                <w:kern w:val="0"/>
                <w:szCs w:val="21"/>
                <w:highlight w:val="none"/>
              </w:rPr>
              <w:t>误的，评</w:t>
            </w:r>
            <w:r>
              <w:rPr>
                <w:rFonts w:hint="eastAsia" w:ascii="宋体" w:hAnsi="宋体" w:cs="MingLiU"/>
                <w:b w:val="0"/>
                <w:bCs/>
                <w:color w:val="auto"/>
                <w:spacing w:val="1"/>
                <w:kern w:val="0"/>
                <w:szCs w:val="21"/>
                <w:highlight w:val="none"/>
              </w:rPr>
              <w:t>标</w:t>
            </w:r>
            <w:r>
              <w:rPr>
                <w:rFonts w:hint="eastAsia" w:ascii="宋体" w:hAnsi="宋体" w:cs="MingLiU"/>
                <w:b w:val="0"/>
                <w:bCs/>
                <w:color w:val="auto"/>
                <w:kern w:val="0"/>
                <w:szCs w:val="21"/>
                <w:highlight w:val="none"/>
              </w:rPr>
              <w:t>委员会按招标文件规定的原则对</w:t>
            </w:r>
            <w:r>
              <w:rPr>
                <w:rFonts w:hint="eastAsia" w:ascii="宋体" w:hAnsi="宋体" w:cs="MingLiU"/>
                <w:b w:val="0"/>
                <w:bCs/>
                <w:color w:val="auto"/>
                <w:spacing w:val="1"/>
                <w:kern w:val="0"/>
                <w:szCs w:val="21"/>
                <w:highlight w:val="none"/>
              </w:rPr>
              <w:t>投</w:t>
            </w:r>
            <w:r>
              <w:rPr>
                <w:rFonts w:hint="eastAsia" w:ascii="宋体" w:hAnsi="宋体" w:cs="MingLiU"/>
                <w:b w:val="0"/>
                <w:bCs/>
                <w:color w:val="auto"/>
                <w:kern w:val="0"/>
                <w:szCs w:val="21"/>
                <w:highlight w:val="none"/>
              </w:rPr>
              <w:t>标报价进</w:t>
            </w:r>
            <w:r>
              <w:rPr>
                <w:rFonts w:hint="eastAsia" w:ascii="宋体" w:hAnsi="宋体" w:cs="MingLiU"/>
                <w:b w:val="0"/>
                <w:bCs/>
                <w:color w:val="auto"/>
                <w:spacing w:val="1"/>
                <w:kern w:val="0"/>
                <w:szCs w:val="21"/>
                <w:highlight w:val="none"/>
              </w:rPr>
              <w:t>行</w:t>
            </w:r>
            <w:r>
              <w:rPr>
                <w:rFonts w:hint="eastAsia" w:ascii="宋体" w:hAnsi="宋体" w:cs="MingLiU"/>
                <w:b w:val="0"/>
                <w:bCs/>
                <w:color w:val="auto"/>
                <w:kern w:val="0"/>
                <w:szCs w:val="21"/>
                <w:highlight w:val="none"/>
              </w:rPr>
              <w:t>修正，修</w:t>
            </w:r>
            <w:r>
              <w:rPr>
                <w:rFonts w:hint="eastAsia" w:ascii="宋体" w:hAnsi="宋体" w:cs="MingLiU"/>
                <w:b w:val="0"/>
                <w:bCs/>
                <w:color w:val="auto"/>
                <w:spacing w:val="1"/>
                <w:kern w:val="0"/>
                <w:szCs w:val="21"/>
                <w:highlight w:val="none"/>
              </w:rPr>
              <w:t>正的</w:t>
            </w:r>
            <w:r>
              <w:rPr>
                <w:rFonts w:hint="eastAsia" w:ascii="宋体" w:hAnsi="宋体" w:cs="MingLiU"/>
                <w:b w:val="0"/>
                <w:bCs/>
                <w:color w:val="auto"/>
                <w:kern w:val="0"/>
                <w:szCs w:val="21"/>
                <w:highlight w:val="none"/>
              </w:rPr>
              <w:t>价格经投标人书面确认后具有约束力。投标人不接受修正价格的，其投标作</w:t>
            </w:r>
            <w:r>
              <w:rPr>
                <w:rFonts w:hint="eastAsia" w:ascii="宋体" w:hAnsi="宋体" w:cs="MingLiU"/>
                <w:b w:val="0"/>
                <w:bCs/>
                <w:snapToGrid w:val="0"/>
                <w:color w:val="auto"/>
                <w:kern w:val="0"/>
                <w:szCs w:val="21"/>
                <w:highlight w:val="none"/>
              </w:rPr>
              <w:t>否决投标处理</w:t>
            </w:r>
            <w:r>
              <w:rPr>
                <w:rFonts w:hint="eastAsia" w:ascii="宋体" w:hAnsi="宋体" w:cs="MingLiU"/>
                <w:b w:val="0"/>
                <w:bCs/>
                <w:color w:val="auto"/>
                <w:kern w:val="0"/>
                <w:szCs w:val="21"/>
                <w:highlight w:val="none"/>
              </w:rPr>
              <w:t xml:space="preserve">。 </w:t>
            </w:r>
          </w:p>
        </w:tc>
      </w:tr>
      <w:tr w14:paraId="1269A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vMerge w:val="continue"/>
            <w:noWrap w:val="0"/>
            <w:vAlign w:val="top"/>
          </w:tcPr>
          <w:p w14:paraId="4563B354">
            <w:pPr>
              <w:keepNext w:val="0"/>
              <w:keepLines w:val="0"/>
              <w:suppressLineNumbers w:val="0"/>
              <w:spacing w:before="0" w:beforeAutospacing="0" w:after="0" w:afterAutospacing="0"/>
              <w:ind w:left="0" w:right="0"/>
              <w:rPr>
                <w:rFonts w:hint="default" w:ascii="宋体" w:hAnsi="宋体"/>
                <w:b w:val="0"/>
                <w:bCs/>
                <w:color w:val="auto"/>
                <w:szCs w:val="21"/>
                <w:highlight w:val="none"/>
              </w:rPr>
            </w:pPr>
          </w:p>
        </w:tc>
        <w:tc>
          <w:tcPr>
            <w:tcW w:w="1413" w:type="dxa"/>
            <w:vMerge w:val="continue"/>
            <w:noWrap w:val="0"/>
            <w:vAlign w:val="top"/>
          </w:tcPr>
          <w:p w14:paraId="1299FA99">
            <w:pPr>
              <w:keepNext w:val="0"/>
              <w:keepLines w:val="0"/>
              <w:suppressLineNumbers w:val="0"/>
              <w:spacing w:before="0" w:beforeAutospacing="0" w:after="0" w:afterAutospacing="0"/>
              <w:ind w:left="0" w:right="0"/>
              <w:rPr>
                <w:rFonts w:hint="default" w:ascii="宋体" w:hAnsi="宋体"/>
                <w:b w:val="0"/>
                <w:bCs/>
                <w:color w:val="auto"/>
                <w:szCs w:val="21"/>
                <w:highlight w:val="none"/>
              </w:rPr>
            </w:pPr>
          </w:p>
        </w:tc>
        <w:tc>
          <w:tcPr>
            <w:tcW w:w="6099" w:type="dxa"/>
            <w:noWrap w:val="0"/>
            <w:vAlign w:val="top"/>
          </w:tcPr>
          <w:p w14:paraId="508AF44E">
            <w:pPr>
              <w:keepNext w:val="0"/>
              <w:keepLines w:val="0"/>
              <w:suppressLineNumbers w:val="0"/>
              <w:spacing w:before="0" w:beforeAutospacing="0" w:after="0" w:afterAutospacing="0" w:line="360" w:lineRule="auto"/>
              <w:ind w:left="0" w:right="0" w:firstLine="420" w:firstLineChars="200"/>
              <w:rPr>
                <w:rFonts w:hint="default" w:ascii="宋体" w:hAnsi="宋体"/>
                <w:b w:val="0"/>
                <w:bCs/>
                <w:color w:val="auto"/>
                <w:szCs w:val="21"/>
                <w:highlight w:val="none"/>
              </w:rPr>
            </w:pPr>
            <w:r>
              <w:rPr>
                <w:rFonts w:hint="eastAsia" w:ascii="宋体" w:hAnsi="宋体" w:cs="MingLiU"/>
                <w:b w:val="0"/>
                <w:bCs/>
                <w:color w:val="auto"/>
                <w:kern w:val="0"/>
                <w:szCs w:val="21"/>
                <w:highlight w:val="none"/>
              </w:rPr>
              <w:t>评标委员会发现投标人的报价明显低于其他投标报价，或者在设有标底时明显低于标底，使得其投标报价可能低于其个别成本的，应当要求该投标人做出书面说明并提供相应的证明材料。投标人不能合理说明或者不能提供相应证明材料的，由评标委员会认定该投标人以低于成本报价竞标，其投标作</w:t>
            </w:r>
            <w:r>
              <w:rPr>
                <w:rFonts w:hint="eastAsia" w:ascii="宋体" w:hAnsi="宋体" w:cs="MingLiU"/>
                <w:b w:val="0"/>
                <w:bCs/>
                <w:snapToGrid w:val="0"/>
                <w:color w:val="auto"/>
                <w:kern w:val="0"/>
                <w:szCs w:val="21"/>
                <w:highlight w:val="none"/>
              </w:rPr>
              <w:t>否决投标处理</w:t>
            </w:r>
            <w:r>
              <w:rPr>
                <w:rFonts w:hint="eastAsia" w:ascii="宋体" w:hAnsi="宋体" w:cs="MingLiU"/>
                <w:b w:val="0"/>
                <w:bCs/>
                <w:color w:val="auto"/>
                <w:kern w:val="0"/>
                <w:szCs w:val="21"/>
                <w:highlight w:val="none"/>
              </w:rPr>
              <w:t>。</w:t>
            </w:r>
          </w:p>
        </w:tc>
      </w:tr>
      <w:tr w14:paraId="76C9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dxa"/>
            <w:noWrap w:val="0"/>
            <w:vAlign w:val="center"/>
          </w:tcPr>
          <w:p w14:paraId="62802544">
            <w:pPr>
              <w:pStyle w:val="2"/>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宋体" w:hAnsi="宋体"/>
                <w:b w:val="0"/>
                <w:bCs/>
                <w:color w:val="auto"/>
                <w:sz w:val="21"/>
                <w:szCs w:val="21"/>
                <w:highlight w:val="none"/>
              </w:rPr>
            </w:pPr>
            <w:r>
              <w:rPr>
                <w:rFonts w:hint="eastAsia" w:ascii="宋体" w:hAnsi="宋体" w:cs="Times New Roman"/>
                <w:color w:val="auto"/>
                <w:sz w:val="21"/>
                <w:szCs w:val="21"/>
                <w:highlight w:val="none"/>
              </w:rPr>
              <w:t>其他</w:t>
            </w:r>
          </w:p>
        </w:tc>
        <w:tc>
          <w:tcPr>
            <w:tcW w:w="1413" w:type="dxa"/>
            <w:noWrap w:val="0"/>
            <w:vAlign w:val="center"/>
          </w:tcPr>
          <w:p w14:paraId="182EC683">
            <w:pPr>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宋体" w:hAnsi="宋体"/>
                <w:b w:val="0"/>
                <w:bCs/>
                <w:color w:val="auto"/>
                <w:sz w:val="21"/>
                <w:szCs w:val="21"/>
                <w:highlight w:val="none"/>
              </w:rPr>
            </w:pPr>
          </w:p>
        </w:tc>
        <w:tc>
          <w:tcPr>
            <w:tcW w:w="6099" w:type="dxa"/>
            <w:noWrap w:val="0"/>
            <w:vAlign w:val="center"/>
          </w:tcPr>
          <w:p w14:paraId="5DD56357">
            <w:pPr>
              <w:keepNext w:val="0"/>
              <w:keepLines w:val="0"/>
              <w:suppressLineNumbers w:val="0"/>
              <w:adjustRightInd w:val="0"/>
              <w:snapToGrid w:val="0"/>
              <w:spacing w:before="0" w:beforeAutospacing="0" w:after="0" w:afterAutospacing="0" w:line="360" w:lineRule="auto"/>
              <w:ind w:left="0" w:leftChars="0" w:right="0" w:rightChars="0" w:firstLine="420" w:firstLineChars="0"/>
              <w:rPr>
                <w:rFonts w:hint="eastAsia" w:ascii="宋体" w:hAnsi="宋体" w:cs="MingLiU"/>
                <w:b w:val="0"/>
                <w:bCs/>
                <w:color w:val="auto"/>
                <w:kern w:val="0"/>
                <w:sz w:val="21"/>
                <w:szCs w:val="21"/>
                <w:highlight w:val="none"/>
              </w:rPr>
            </w:pPr>
            <w:r>
              <w:rPr>
                <w:rFonts w:hint="default" w:ascii="宋体" w:hAnsi="宋体" w:cs="宋体"/>
                <w:color w:val="auto"/>
                <w:sz w:val="21"/>
                <w:szCs w:val="21"/>
                <w:highlight w:val="none"/>
              </w:rPr>
              <w:t>无</w:t>
            </w:r>
          </w:p>
        </w:tc>
      </w:tr>
    </w:tbl>
    <w:p w14:paraId="1915D5E0">
      <w:pPr>
        <w:pStyle w:val="4"/>
        <w:spacing w:line="276" w:lineRule="auto"/>
        <w:rPr>
          <w:rFonts w:hint="eastAsia" w:ascii="宋体" w:hAnsi="宋体" w:eastAsia="宋体"/>
          <w:b w:val="0"/>
          <w:color w:val="auto"/>
          <w:highlight w:val="none"/>
        </w:rPr>
      </w:pPr>
    </w:p>
    <w:p w14:paraId="24A4A61C">
      <w:pPr>
        <w:adjustRightInd w:val="0"/>
        <w:snapToGrid w:val="0"/>
        <w:spacing w:line="360" w:lineRule="auto"/>
        <w:rPr>
          <w:rFonts w:ascii="宋体" w:hAnsi="宋体"/>
          <w:color w:val="auto"/>
          <w:highlight w:val="none"/>
        </w:rPr>
      </w:pPr>
    </w:p>
    <w:p w14:paraId="0415E29A">
      <w:pPr>
        <w:pStyle w:val="3"/>
        <w:adjustRightInd w:val="0"/>
        <w:snapToGrid w:val="0"/>
        <w:spacing w:before="0" w:after="0" w:line="360" w:lineRule="auto"/>
        <w:jc w:val="center"/>
        <w:rPr>
          <w:rFonts w:ascii="宋体" w:hAnsi="宋体"/>
          <w:color w:val="auto"/>
          <w:kern w:val="0"/>
          <w:highlight w:val="none"/>
        </w:rPr>
      </w:pPr>
      <w:bookmarkStart w:id="583" w:name="_Toc430530509"/>
      <w:bookmarkStart w:id="584" w:name="_Toc509218785"/>
      <w:r>
        <w:rPr>
          <w:rFonts w:ascii="宋体" w:hAnsi="宋体"/>
          <w:color w:val="auto"/>
          <w:kern w:val="0"/>
          <w:highlight w:val="none"/>
        </w:rPr>
        <w:br w:type="page"/>
      </w:r>
      <w:bookmarkStart w:id="585" w:name="_Toc177985727"/>
      <w:r>
        <w:rPr>
          <w:rFonts w:hint="eastAsia" w:ascii="宋体" w:hAnsi="宋体"/>
          <w:color w:val="auto"/>
          <w:kern w:val="0"/>
          <w:highlight w:val="none"/>
        </w:rPr>
        <w:t>第四章  合同条款及格式</w:t>
      </w:r>
      <w:bookmarkEnd w:id="583"/>
      <w:bookmarkEnd w:id="584"/>
      <w:bookmarkEnd w:id="585"/>
    </w:p>
    <w:p w14:paraId="7AB3164A">
      <w:pPr>
        <w:rPr>
          <w:rFonts w:hint="eastAsia" w:ascii="宋体" w:hAnsi="宋体"/>
          <w:color w:val="auto"/>
          <w:highlight w:val="none"/>
        </w:rPr>
      </w:pPr>
      <w:bookmarkStart w:id="586" w:name="_Toc287607861"/>
      <w:bookmarkStart w:id="587" w:name="_Toc534185825"/>
      <w:bookmarkStart w:id="588" w:name="_Toc509218846"/>
      <w:bookmarkStart w:id="589" w:name="_Toc287620803"/>
      <w:bookmarkStart w:id="590" w:name="_Toc430530519"/>
      <w:bookmarkStart w:id="591" w:name="_Toc177985728"/>
      <w:bookmarkStart w:id="592" w:name="_Toc296890982"/>
      <w:bookmarkStart w:id="593" w:name="_Toc351203480"/>
      <w:bookmarkStart w:id="594" w:name="_Toc296503025"/>
      <w:r>
        <w:rPr>
          <w:rFonts w:hint="eastAsia" w:ascii="宋体" w:hAnsi="宋体"/>
          <w:color w:val="auto"/>
          <w:highlight w:val="none"/>
        </w:rPr>
        <w:br w:type="page"/>
      </w:r>
    </w:p>
    <w:p w14:paraId="2B54C7D5">
      <w:pPr>
        <w:pStyle w:val="3"/>
        <w:adjustRightInd w:val="0"/>
        <w:snapToGrid w:val="0"/>
        <w:spacing w:before="0" w:after="0" w:line="360" w:lineRule="auto"/>
        <w:jc w:val="center"/>
        <w:rPr>
          <w:rFonts w:ascii="宋体" w:hAnsi="宋体"/>
          <w:color w:val="auto"/>
          <w:highlight w:val="none"/>
        </w:rPr>
      </w:pPr>
      <w:r>
        <w:rPr>
          <w:rFonts w:hint="eastAsia" w:ascii="宋体" w:hAnsi="宋体"/>
          <w:color w:val="auto"/>
          <w:highlight w:val="none"/>
        </w:rPr>
        <w:t xml:space="preserve">第五章  </w:t>
      </w:r>
      <w:bookmarkEnd w:id="586"/>
      <w:bookmarkEnd w:id="587"/>
      <w:bookmarkEnd w:id="588"/>
      <w:bookmarkEnd w:id="589"/>
      <w:bookmarkEnd w:id="590"/>
      <w:bookmarkEnd w:id="591"/>
      <w:r>
        <w:rPr>
          <w:rFonts w:hint="eastAsia" w:ascii="宋体" w:hAnsi="宋体"/>
          <w:color w:val="auto"/>
          <w:highlight w:val="none"/>
          <w:lang w:eastAsia="zh-CN"/>
        </w:rPr>
        <w:t>采购清单</w:t>
      </w:r>
    </w:p>
    <w:tbl>
      <w:tblPr>
        <w:tblStyle w:val="46"/>
        <w:tblW w:w="85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25"/>
        <w:gridCol w:w="3224"/>
        <w:gridCol w:w="2269"/>
        <w:gridCol w:w="1870"/>
      </w:tblGrid>
      <w:tr w14:paraId="5919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98C7">
            <w:pPr>
              <w:keepNext w:val="0"/>
              <w:keepLines w:val="0"/>
              <w:suppressLineNumbers w:val="0"/>
              <w:spacing w:before="0" w:beforeAutospacing="0" w:after="0" w:afterAutospacing="0"/>
              <w:ind w:left="0" w:right="0"/>
              <w:jc w:val="center"/>
              <w:rPr>
                <w:rFonts w:hint="eastAsia" w:ascii="宋体" w:hAnsi="宋体" w:eastAsia="宋体" w:cs="宋体"/>
                <w:b/>
                <w:bCs/>
                <w:i w:val="0"/>
                <w:color w:val="000000"/>
                <w:sz w:val="24"/>
                <w:szCs w:val="24"/>
                <w:highlight w:val="none"/>
                <w:u w:val="none"/>
              </w:rPr>
            </w:pPr>
            <w:bookmarkStart w:id="595" w:name="_Toc177985729"/>
            <w:bookmarkStart w:id="596" w:name="_Toc19368"/>
            <w:r>
              <w:rPr>
                <w:rFonts w:hint="eastAsia" w:ascii="宋体" w:hAnsi="宋体"/>
                <w:b/>
                <w:bCs/>
                <w:color w:val="auto"/>
                <w:highlight w:val="none"/>
              </w:rPr>
              <w:br w:type="page"/>
            </w:r>
            <w:r>
              <w:rPr>
                <w:rFonts w:hint="eastAsia" w:ascii="宋体" w:hAnsi="宋体" w:eastAsia="宋体" w:cs="宋体"/>
                <w:b/>
                <w:bCs/>
                <w:i w:val="0"/>
                <w:color w:val="000000"/>
                <w:kern w:val="0"/>
                <w:sz w:val="24"/>
                <w:szCs w:val="24"/>
                <w:highlight w:val="none"/>
                <w:u w:val="none"/>
                <w:lang w:val="en-US" w:eastAsia="zh-CN" w:bidi="ar"/>
              </w:rPr>
              <w:t>序号</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F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规格型号</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8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数量（条）</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B3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p>
        </w:tc>
      </w:tr>
      <w:tr w14:paraId="0870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B41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3B58">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215/75R-17.5</w:t>
            </w:r>
          </w:p>
          <w:p w14:paraId="296D23D6">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普通型</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36BB">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3D4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4E12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776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1C47">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245/70R-19.5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12CD">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FCE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0A553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D31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89B">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255/70R-22.5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6B1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FB10">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70F3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42CB">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99F5">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265/70R-19.5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3AE5">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01C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1BBDB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EF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713E">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275/70R-22.5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1291">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280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971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6011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DE4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FC0F">
            <w:pPr>
              <w:keepNext w:val="0"/>
              <w:keepLines w:val="0"/>
              <w:widowControl/>
              <w:suppressLineNumbers w:val="0"/>
              <w:spacing w:before="0" w:beforeAutospacing="0" w:after="0" w:afterAutospacing="0"/>
              <w:ind w:left="0" w:right="0"/>
              <w:jc w:val="center"/>
              <w:textAlignment w:val="bottom"/>
              <w:rPr>
                <w:rFonts w:hint="default"/>
                <w:sz w:val="21"/>
                <w:szCs w:val="21"/>
                <w:highlight w:val="none"/>
                <w:lang w:val="en-US" w:eastAsia="zh-CN"/>
              </w:rPr>
            </w:pPr>
            <w:r>
              <w:rPr>
                <w:rFonts w:hint="eastAsia"/>
                <w:sz w:val="21"/>
                <w:szCs w:val="21"/>
                <w:highlight w:val="none"/>
                <w:lang w:val="en-US" w:eastAsia="zh-CN"/>
              </w:rPr>
              <w:t>295/80R-22.5-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11CA">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FFA3">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p>
        </w:tc>
      </w:tr>
      <w:tr w14:paraId="50D4F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165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E204">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9R-22.5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65CF">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C5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5ECFA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01"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803A">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DD67">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10R-22.5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A062">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1E68">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016B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8"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144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414A">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11R-22.5</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547C">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C2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5CCE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66EF">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9D45">
            <w:pPr>
              <w:keepNext w:val="0"/>
              <w:keepLines w:val="0"/>
              <w:widowControl/>
              <w:suppressLineNumbers w:val="0"/>
              <w:spacing w:before="0" w:beforeAutospacing="0" w:after="0" w:afterAutospacing="0"/>
              <w:ind w:left="0" w:right="0"/>
              <w:jc w:val="center"/>
              <w:textAlignment w:val="bottom"/>
              <w:rPr>
                <w:rFonts w:hint="eastAsia"/>
                <w:sz w:val="21"/>
                <w:szCs w:val="21"/>
                <w:highlight w:val="none"/>
                <w:lang w:val="en-US" w:eastAsia="zh-CN"/>
              </w:rPr>
            </w:pPr>
            <w:r>
              <w:rPr>
                <w:rFonts w:hint="eastAsia"/>
                <w:sz w:val="21"/>
                <w:szCs w:val="21"/>
                <w:highlight w:val="none"/>
                <w:lang w:val="en-US" w:eastAsia="zh-CN"/>
              </w:rPr>
              <w:t>215/75R-17.5</w:t>
            </w:r>
          </w:p>
          <w:p w14:paraId="05202A48">
            <w:pPr>
              <w:pStyle w:val="2"/>
              <w:keepNext w:val="0"/>
              <w:keepLines w:val="0"/>
              <w:suppressLineNumbers w:val="0"/>
              <w:spacing w:before="0" w:beforeAutospacing="0" w:afterAutospacing="0"/>
              <w:ind w:left="0" w:right="0"/>
              <w:jc w:val="center"/>
              <w:rPr>
                <w:rFonts w:hint="default"/>
                <w:sz w:val="21"/>
                <w:szCs w:val="21"/>
                <w:highlight w:val="none"/>
                <w:lang w:val="en-US" w:eastAsia="zh-CN"/>
              </w:rPr>
            </w:pPr>
            <w:r>
              <w:rPr>
                <w:rFonts w:hint="eastAsia"/>
                <w:sz w:val="21"/>
                <w:szCs w:val="21"/>
                <w:highlight w:val="none"/>
                <w:lang w:val="en-US" w:eastAsia="zh-CN"/>
              </w:rPr>
              <w:t>加强型</w:t>
            </w: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BC8D">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600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AE51">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r w14:paraId="766C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C77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b/>
                <w:bCs/>
                <w:i w:val="0"/>
                <w:color w:val="000000"/>
                <w:kern w:val="0"/>
                <w:sz w:val="24"/>
                <w:szCs w:val="24"/>
                <w:highlight w:val="none"/>
                <w:u w:val="none"/>
                <w:lang w:val="en-US" w:eastAsia="zh-CN" w:bidi="ar"/>
              </w:rPr>
              <w:t>合计</w:t>
            </w:r>
          </w:p>
        </w:tc>
        <w:tc>
          <w:tcPr>
            <w:tcW w:w="3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E274">
            <w:pPr>
              <w:pStyle w:val="2"/>
              <w:keepNext w:val="0"/>
              <w:keepLines w:val="0"/>
              <w:suppressLineNumbers w:val="0"/>
              <w:spacing w:before="0" w:beforeAutospacing="0" w:afterAutospacing="0"/>
              <w:ind w:left="0" w:right="0"/>
              <w:jc w:val="center"/>
              <w:rPr>
                <w:rFonts w:hint="eastAsia"/>
                <w:highlight w:val="none"/>
                <w:lang w:val="en-US" w:eastAsia="zh-CN"/>
              </w:rPr>
            </w:pPr>
          </w:p>
        </w:tc>
        <w:tc>
          <w:tcPr>
            <w:tcW w:w="2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6306">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2390</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B2A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4"/>
                <w:szCs w:val="24"/>
                <w:highlight w:val="none"/>
                <w:u w:val="none"/>
                <w:lang w:val="en-US" w:eastAsia="zh-CN" w:bidi="ar"/>
              </w:rPr>
            </w:pPr>
          </w:p>
        </w:tc>
      </w:tr>
    </w:tbl>
    <w:p w14:paraId="07D635C2">
      <w:pPr>
        <w:rPr>
          <w:rFonts w:hint="eastAsia" w:ascii="宋体" w:hAnsi="宋体"/>
          <w:color w:val="auto"/>
          <w:highlight w:val="none"/>
        </w:rPr>
      </w:pPr>
    </w:p>
    <w:p w14:paraId="42DE47AC">
      <w:pPr>
        <w:rPr>
          <w:rFonts w:hint="eastAsia" w:ascii="宋体" w:hAnsi="宋体"/>
          <w:color w:val="auto"/>
          <w:highlight w:val="none"/>
        </w:rPr>
      </w:pPr>
      <w:r>
        <w:rPr>
          <w:rFonts w:hint="eastAsia" w:ascii="宋体" w:hAnsi="宋体"/>
          <w:color w:val="auto"/>
          <w:highlight w:val="none"/>
        </w:rPr>
        <w:br w:type="page"/>
      </w:r>
    </w:p>
    <w:p w14:paraId="19B57D51">
      <w:pPr>
        <w:pStyle w:val="3"/>
        <w:adjustRightInd w:val="0"/>
        <w:snapToGrid w:val="0"/>
        <w:spacing w:before="0" w:after="0" w:line="360" w:lineRule="auto"/>
        <w:jc w:val="center"/>
        <w:rPr>
          <w:rFonts w:ascii="宋体" w:hAnsi="宋体"/>
          <w:color w:val="auto"/>
          <w:highlight w:val="none"/>
        </w:rPr>
      </w:pPr>
      <w:r>
        <w:rPr>
          <w:rFonts w:hint="eastAsia" w:ascii="宋体" w:hAnsi="宋体"/>
          <w:color w:val="auto"/>
          <w:highlight w:val="none"/>
        </w:rPr>
        <w:t xml:space="preserve">第六章  </w:t>
      </w:r>
      <w:r>
        <w:rPr>
          <w:rFonts w:hint="eastAsia" w:ascii="宋体" w:hAnsi="宋体"/>
          <w:color w:val="auto"/>
          <w:highlight w:val="none"/>
          <w:lang w:eastAsia="zh-CN"/>
        </w:rPr>
        <w:t>投标文件</w:t>
      </w:r>
      <w:r>
        <w:rPr>
          <w:rFonts w:hint="eastAsia" w:ascii="宋体" w:hAnsi="宋体"/>
          <w:color w:val="auto"/>
          <w:highlight w:val="none"/>
        </w:rPr>
        <w:t>格式</w:t>
      </w:r>
      <w:bookmarkEnd w:id="595"/>
    </w:p>
    <w:p w14:paraId="26B30F6D">
      <w:pPr>
        <w:adjustRightInd w:val="0"/>
        <w:snapToGrid w:val="0"/>
        <w:spacing w:line="360" w:lineRule="auto"/>
        <w:rPr>
          <w:rFonts w:ascii="宋体" w:hAnsi="宋体"/>
          <w:color w:val="auto"/>
          <w:sz w:val="32"/>
          <w:szCs w:val="32"/>
          <w:highlight w:val="none"/>
        </w:rPr>
      </w:pPr>
    </w:p>
    <w:p w14:paraId="1371DDBE">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2365375</wp:posOffset>
                </wp:positionH>
                <wp:positionV relativeFrom="paragraph">
                  <wp:posOffset>8465820</wp:posOffset>
                </wp:positionV>
                <wp:extent cx="807720" cy="693420"/>
                <wp:effectExtent l="0" t="0" r="11430" b="11430"/>
                <wp:wrapNone/>
                <wp:docPr id="2" name="矩形 118"/>
                <wp:cNvGraphicFramePr/>
                <a:graphic xmlns:a="http://schemas.openxmlformats.org/drawingml/2006/main">
                  <a:graphicData uri="http://schemas.microsoft.com/office/word/2010/wordprocessingShape">
                    <wps:wsp>
                      <wps:cNvSpPr/>
                      <wps:spPr>
                        <a:xfrm>
                          <a:off x="0" y="0"/>
                          <a:ext cx="807720" cy="693420"/>
                        </a:xfrm>
                        <a:prstGeom prst="rect">
                          <a:avLst/>
                        </a:prstGeom>
                        <a:solidFill>
                          <a:srgbClr val="FFFFFF"/>
                        </a:solidFill>
                        <a:ln>
                          <a:noFill/>
                        </a:ln>
                        <a:effectLst/>
                      </wps:spPr>
                      <wps:txbx>
                        <w:txbxContent>
                          <w:p w14:paraId="3679B60D"/>
                        </w:txbxContent>
                      </wps:txbx>
                      <wps:bodyPr wrap="square" upright="1"/>
                    </wps:wsp>
                  </a:graphicData>
                </a:graphic>
              </wp:anchor>
            </w:drawing>
          </mc:Choice>
          <mc:Fallback>
            <w:pict>
              <v:rect id="矩形 118" o:spid="_x0000_s1026" o:spt="1" style="position:absolute;left:0pt;margin-left:186.25pt;margin-top:666.6pt;height:54.6pt;width:63.6pt;z-index:251659264;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75eqfaAAAADQEAAA8AAAAAAAAAAQAgAAAAIgAAAGRycy9kb3du&#10;cmV2LnhtbFBLAQIUABQAAAAIAIdO4kAtrbvtxAEAAIcDAAAOAAAAAAAAAAEAIAAAACkBAABkcnMv&#10;ZTJvRG9jLnhtbFBLBQYAAAAABgAGAFkBAABfBQAAAAA=&#10;">
                <v:fill on="t" focussize="0,0"/>
                <v:stroke on="f"/>
                <v:imagedata o:title=""/>
                <o:lock v:ext="edit" aspectratio="f"/>
                <v:textbox>
                  <w:txbxContent>
                    <w:p w14:paraId="3679B60D"/>
                  </w:txbxContent>
                </v:textbox>
              </v:rect>
            </w:pict>
          </mc:Fallback>
        </mc:AlternateContent>
      </w:r>
      <w:r>
        <w:rPr>
          <w:rFonts w:ascii="宋体" w:hAnsi="宋体"/>
          <w:color w:val="auto"/>
          <w:szCs w:val="20"/>
          <w:highlight w:val="none"/>
        </w:rPr>
        <w:br w:type="page"/>
      </w:r>
      <w:bookmarkStart w:id="597" w:name="_Toc224103493"/>
    </w:p>
    <w:p w14:paraId="30023B2E">
      <w:pPr>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78129E5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E71206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796EE2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430BB2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667F213">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5395DCD7">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lang w:eastAsia="zh-CN"/>
        </w:rPr>
        <w:t>投</w:t>
      </w:r>
      <w:r>
        <w:rPr>
          <w:rFonts w:hint="eastAsia" w:ascii="宋体" w:hAnsi="宋体"/>
          <w:color w:val="auto"/>
          <w:kern w:val="0"/>
          <w:sz w:val="72"/>
          <w:szCs w:val="72"/>
          <w:highlight w:val="none"/>
        </w:rPr>
        <w:t xml:space="preserve"> </w:t>
      </w:r>
      <w:r>
        <w:rPr>
          <w:rFonts w:hint="eastAsia" w:ascii="宋体" w:hAnsi="宋体"/>
          <w:color w:val="auto"/>
          <w:kern w:val="0"/>
          <w:sz w:val="72"/>
          <w:szCs w:val="72"/>
          <w:highlight w:val="none"/>
          <w:lang w:val="en-US" w:eastAsia="zh-CN"/>
        </w:rPr>
        <w:t>标</w:t>
      </w:r>
      <w:r>
        <w:rPr>
          <w:rFonts w:hint="eastAsia" w:ascii="宋体" w:hAnsi="宋体"/>
          <w:color w:val="auto"/>
          <w:kern w:val="0"/>
          <w:sz w:val="72"/>
          <w:szCs w:val="72"/>
          <w:highlight w:val="none"/>
        </w:rPr>
        <w:t xml:space="preserve"> 文 件</w:t>
      </w:r>
    </w:p>
    <w:p w14:paraId="54535C7B">
      <w:pPr>
        <w:autoSpaceDE w:val="0"/>
        <w:autoSpaceDN w:val="0"/>
        <w:adjustRightInd w:val="0"/>
        <w:snapToGrid w:val="0"/>
        <w:spacing w:line="360" w:lineRule="auto"/>
        <w:jc w:val="left"/>
        <w:rPr>
          <w:rFonts w:ascii="宋体" w:hAnsi="宋体"/>
          <w:color w:val="auto"/>
          <w:kern w:val="0"/>
          <w:sz w:val="16"/>
          <w:szCs w:val="16"/>
          <w:highlight w:val="none"/>
        </w:rPr>
      </w:pPr>
    </w:p>
    <w:p w14:paraId="74767335">
      <w:pPr>
        <w:autoSpaceDE w:val="0"/>
        <w:autoSpaceDN w:val="0"/>
        <w:adjustRightInd w:val="0"/>
        <w:snapToGrid w:val="0"/>
        <w:spacing w:line="360" w:lineRule="auto"/>
        <w:jc w:val="left"/>
        <w:rPr>
          <w:rFonts w:ascii="宋体" w:hAnsi="宋体"/>
          <w:b/>
          <w:color w:val="auto"/>
          <w:kern w:val="0"/>
          <w:sz w:val="20"/>
          <w:szCs w:val="20"/>
          <w:highlight w:val="none"/>
        </w:rPr>
      </w:pPr>
    </w:p>
    <w:p w14:paraId="08D411CF">
      <w:pPr>
        <w:autoSpaceDE w:val="0"/>
        <w:autoSpaceDN w:val="0"/>
        <w:adjustRightInd w:val="0"/>
        <w:snapToGrid w:val="0"/>
        <w:spacing w:line="360" w:lineRule="auto"/>
        <w:jc w:val="left"/>
        <w:rPr>
          <w:rFonts w:ascii="宋体" w:hAnsi="宋体"/>
          <w:b/>
          <w:color w:val="auto"/>
          <w:kern w:val="0"/>
          <w:sz w:val="20"/>
          <w:szCs w:val="20"/>
          <w:highlight w:val="none"/>
        </w:rPr>
      </w:pPr>
    </w:p>
    <w:p w14:paraId="30B5F89D">
      <w:pPr>
        <w:autoSpaceDE w:val="0"/>
        <w:autoSpaceDN w:val="0"/>
        <w:adjustRightInd w:val="0"/>
        <w:snapToGrid w:val="0"/>
        <w:spacing w:line="360" w:lineRule="auto"/>
        <w:jc w:val="left"/>
        <w:rPr>
          <w:rFonts w:ascii="宋体" w:hAnsi="宋体"/>
          <w:b/>
          <w:color w:val="auto"/>
          <w:kern w:val="0"/>
          <w:sz w:val="20"/>
          <w:szCs w:val="20"/>
          <w:highlight w:val="none"/>
        </w:rPr>
      </w:pPr>
    </w:p>
    <w:p w14:paraId="43871643">
      <w:pPr>
        <w:autoSpaceDE w:val="0"/>
        <w:autoSpaceDN w:val="0"/>
        <w:adjustRightInd w:val="0"/>
        <w:snapToGrid w:val="0"/>
        <w:spacing w:line="360" w:lineRule="auto"/>
        <w:jc w:val="left"/>
        <w:rPr>
          <w:rFonts w:ascii="宋体" w:hAnsi="宋体"/>
          <w:b/>
          <w:color w:val="auto"/>
          <w:kern w:val="0"/>
          <w:sz w:val="20"/>
          <w:szCs w:val="20"/>
          <w:highlight w:val="none"/>
        </w:rPr>
      </w:pPr>
    </w:p>
    <w:p w14:paraId="30391B73">
      <w:pPr>
        <w:autoSpaceDE w:val="0"/>
        <w:autoSpaceDN w:val="0"/>
        <w:adjustRightInd w:val="0"/>
        <w:snapToGrid w:val="0"/>
        <w:spacing w:line="360" w:lineRule="auto"/>
        <w:jc w:val="left"/>
        <w:rPr>
          <w:rFonts w:ascii="宋体" w:hAnsi="宋体"/>
          <w:b/>
          <w:color w:val="auto"/>
          <w:kern w:val="0"/>
          <w:sz w:val="20"/>
          <w:szCs w:val="20"/>
          <w:highlight w:val="none"/>
        </w:rPr>
      </w:pPr>
    </w:p>
    <w:p w14:paraId="538B3150">
      <w:pPr>
        <w:autoSpaceDE w:val="0"/>
        <w:autoSpaceDN w:val="0"/>
        <w:adjustRightInd w:val="0"/>
        <w:snapToGrid w:val="0"/>
        <w:spacing w:line="360" w:lineRule="auto"/>
        <w:jc w:val="left"/>
        <w:rPr>
          <w:rFonts w:ascii="宋体" w:hAnsi="宋体"/>
          <w:b/>
          <w:color w:val="auto"/>
          <w:kern w:val="0"/>
          <w:sz w:val="20"/>
          <w:szCs w:val="20"/>
          <w:highlight w:val="none"/>
        </w:rPr>
      </w:pPr>
    </w:p>
    <w:p w14:paraId="34D25ABE">
      <w:pPr>
        <w:autoSpaceDE w:val="0"/>
        <w:autoSpaceDN w:val="0"/>
        <w:adjustRightInd w:val="0"/>
        <w:snapToGrid w:val="0"/>
        <w:spacing w:line="360" w:lineRule="auto"/>
        <w:jc w:val="left"/>
        <w:rPr>
          <w:rFonts w:ascii="宋体" w:hAnsi="宋体"/>
          <w:b/>
          <w:color w:val="auto"/>
          <w:kern w:val="0"/>
          <w:sz w:val="20"/>
          <w:szCs w:val="20"/>
          <w:highlight w:val="none"/>
        </w:rPr>
      </w:pPr>
    </w:p>
    <w:p w14:paraId="7017AEBE">
      <w:pPr>
        <w:autoSpaceDE w:val="0"/>
        <w:autoSpaceDN w:val="0"/>
        <w:adjustRightInd w:val="0"/>
        <w:snapToGrid w:val="0"/>
        <w:spacing w:line="360" w:lineRule="auto"/>
        <w:jc w:val="left"/>
        <w:rPr>
          <w:rFonts w:ascii="宋体" w:hAnsi="宋体"/>
          <w:b/>
          <w:color w:val="auto"/>
          <w:kern w:val="0"/>
          <w:sz w:val="20"/>
          <w:szCs w:val="20"/>
          <w:highlight w:val="none"/>
        </w:rPr>
      </w:pPr>
    </w:p>
    <w:p w14:paraId="0016BAB0">
      <w:pPr>
        <w:autoSpaceDE w:val="0"/>
        <w:autoSpaceDN w:val="0"/>
        <w:adjustRightInd w:val="0"/>
        <w:snapToGrid w:val="0"/>
        <w:spacing w:line="360" w:lineRule="auto"/>
        <w:jc w:val="left"/>
        <w:rPr>
          <w:rFonts w:ascii="宋体" w:hAnsi="宋体"/>
          <w:b/>
          <w:color w:val="auto"/>
          <w:kern w:val="0"/>
          <w:sz w:val="20"/>
          <w:szCs w:val="20"/>
          <w:highlight w:val="none"/>
        </w:rPr>
      </w:pPr>
    </w:p>
    <w:p w14:paraId="20346395">
      <w:pPr>
        <w:autoSpaceDE w:val="0"/>
        <w:autoSpaceDN w:val="0"/>
        <w:adjustRightInd w:val="0"/>
        <w:snapToGrid w:val="0"/>
        <w:spacing w:line="360" w:lineRule="auto"/>
        <w:jc w:val="left"/>
        <w:rPr>
          <w:rFonts w:ascii="宋体" w:hAnsi="宋体"/>
          <w:b/>
          <w:color w:val="auto"/>
          <w:kern w:val="0"/>
          <w:sz w:val="20"/>
          <w:szCs w:val="20"/>
          <w:highlight w:val="none"/>
        </w:rPr>
      </w:pPr>
    </w:p>
    <w:p w14:paraId="3F7ADBBE">
      <w:pPr>
        <w:autoSpaceDE w:val="0"/>
        <w:autoSpaceDN w:val="0"/>
        <w:adjustRightInd w:val="0"/>
        <w:snapToGrid w:val="0"/>
        <w:spacing w:line="360" w:lineRule="auto"/>
        <w:jc w:val="left"/>
        <w:rPr>
          <w:rFonts w:ascii="宋体" w:hAnsi="宋体"/>
          <w:b/>
          <w:color w:val="auto"/>
          <w:kern w:val="0"/>
          <w:sz w:val="20"/>
          <w:szCs w:val="20"/>
          <w:highlight w:val="none"/>
        </w:rPr>
      </w:pPr>
    </w:p>
    <w:p w14:paraId="2ADDDC9D">
      <w:pPr>
        <w:autoSpaceDE w:val="0"/>
        <w:autoSpaceDN w:val="0"/>
        <w:adjustRightInd w:val="0"/>
        <w:snapToGrid w:val="0"/>
        <w:spacing w:line="360" w:lineRule="auto"/>
        <w:jc w:val="left"/>
        <w:rPr>
          <w:rFonts w:ascii="宋体" w:hAnsi="宋体"/>
          <w:b/>
          <w:color w:val="auto"/>
          <w:kern w:val="0"/>
          <w:sz w:val="20"/>
          <w:szCs w:val="20"/>
          <w:highlight w:val="none"/>
        </w:rPr>
      </w:pPr>
    </w:p>
    <w:p w14:paraId="1B276B60">
      <w:pPr>
        <w:tabs>
          <w:tab w:val="left" w:pos="6080"/>
          <w:tab w:val="left" w:pos="6640"/>
        </w:tabs>
        <w:autoSpaceDE w:val="0"/>
        <w:autoSpaceDN w:val="0"/>
        <w:adjustRightInd w:val="0"/>
        <w:snapToGrid w:val="0"/>
        <w:spacing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lang w:eastAsia="zh-CN"/>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w:t>
      </w:r>
      <w:r>
        <w:rPr>
          <w:rFonts w:hint="eastAsia" w:ascii="宋体" w:hAnsi="宋体"/>
          <w:color w:val="auto"/>
          <w:w w:val="99"/>
          <w:kern w:val="0"/>
          <w:sz w:val="28"/>
          <w:szCs w:val="28"/>
          <w:highlight w:val="none"/>
        </w:rPr>
        <w:t>公</w:t>
      </w:r>
      <w:r>
        <w:rPr>
          <w:rFonts w:ascii="宋体" w:hAnsi="宋体"/>
          <w:color w:val="auto"/>
          <w:w w:val="99"/>
          <w:kern w:val="0"/>
          <w:sz w:val="28"/>
          <w:szCs w:val="28"/>
          <w:highlight w:val="none"/>
        </w:rPr>
        <w:t>章）</w:t>
      </w:r>
    </w:p>
    <w:p w14:paraId="7B1DAB19">
      <w:pPr>
        <w:tabs>
          <w:tab w:val="left" w:pos="6080"/>
          <w:tab w:val="left" w:pos="664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76D64F0B">
      <w:pPr>
        <w:adjustRightInd w:val="0"/>
        <w:snapToGrid w:val="0"/>
        <w:spacing w:line="360" w:lineRule="auto"/>
        <w:jc w:val="center"/>
        <w:rPr>
          <w:rFonts w:ascii="宋体" w:hAnsi="宋体"/>
          <w:color w:val="auto"/>
          <w:sz w:val="36"/>
          <w:szCs w:val="36"/>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szCs w:val="20"/>
          <w:highlight w:val="none"/>
        </w:rPr>
        <w:br w:type="page"/>
      </w:r>
      <w:r>
        <w:rPr>
          <w:rFonts w:hint="eastAsia" w:ascii="宋体" w:hAnsi="宋体"/>
          <w:color w:val="auto"/>
          <w:sz w:val="36"/>
          <w:szCs w:val="36"/>
          <w:highlight w:val="none"/>
        </w:rPr>
        <w:t>目  录</w:t>
      </w:r>
      <w:bookmarkEnd w:id="597"/>
    </w:p>
    <w:p w14:paraId="167F023E">
      <w:pPr>
        <w:adjustRightInd w:val="0"/>
        <w:snapToGrid w:val="0"/>
        <w:spacing w:line="360" w:lineRule="auto"/>
        <w:jc w:val="center"/>
        <w:rPr>
          <w:rFonts w:ascii="宋体" w:hAnsi="宋体"/>
          <w:color w:val="auto"/>
          <w:szCs w:val="20"/>
          <w:highlight w:val="none"/>
        </w:rPr>
      </w:pPr>
    </w:p>
    <w:p w14:paraId="7C1281B1">
      <w:pPr>
        <w:adjustRightInd w:val="0"/>
        <w:snapToGrid w:val="0"/>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w:t>
      </w:r>
      <w:r>
        <w:rPr>
          <w:rFonts w:hint="eastAsia" w:ascii="宋体" w:hAnsi="宋体"/>
          <w:b/>
          <w:color w:val="auto"/>
          <w:highlight w:val="none"/>
          <w:lang w:eastAsia="zh-CN"/>
        </w:rPr>
        <w:t>投标</w:t>
      </w:r>
      <w:r>
        <w:rPr>
          <w:rFonts w:ascii="宋体" w:hAnsi="宋体"/>
          <w:b/>
          <w:color w:val="auto"/>
          <w:highlight w:val="none"/>
        </w:rPr>
        <w:t>函部分</w:t>
      </w:r>
    </w:p>
    <w:p w14:paraId="6D829049">
      <w:pPr>
        <w:adjustRightInd w:val="0"/>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[目录由</w:t>
      </w:r>
      <w:r>
        <w:rPr>
          <w:rFonts w:hint="eastAsia" w:ascii="宋体" w:hAnsi="宋体"/>
          <w:color w:val="auto"/>
          <w:highlight w:val="none"/>
          <w:lang w:eastAsia="zh-CN"/>
        </w:rPr>
        <w:t>投标人</w:t>
      </w:r>
      <w:r>
        <w:rPr>
          <w:rFonts w:hint="eastAsia" w:ascii="宋体" w:hAnsi="宋体"/>
          <w:color w:val="auto"/>
          <w:highlight w:val="none"/>
        </w:rPr>
        <w:t>自行编制]</w:t>
      </w:r>
    </w:p>
    <w:p w14:paraId="418310E4">
      <w:pPr>
        <w:adjustRightInd w:val="0"/>
        <w:snapToGrid w:val="0"/>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rPr>
        <w:t>资格审查部分</w:t>
      </w:r>
    </w:p>
    <w:p w14:paraId="5244775A">
      <w:pPr>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[目录由</w:t>
      </w:r>
      <w:r>
        <w:rPr>
          <w:rFonts w:hint="eastAsia" w:ascii="宋体" w:hAnsi="宋体"/>
          <w:color w:val="auto"/>
          <w:highlight w:val="none"/>
          <w:lang w:eastAsia="zh-CN"/>
        </w:rPr>
        <w:t>投标人</w:t>
      </w:r>
      <w:r>
        <w:rPr>
          <w:rFonts w:hint="eastAsia" w:ascii="宋体" w:hAnsi="宋体"/>
          <w:color w:val="auto"/>
          <w:highlight w:val="none"/>
        </w:rPr>
        <w:t>自行编制]</w:t>
      </w:r>
    </w:p>
    <w:p w14:paraId="2AC43F3A">
      <w:pPr>
        <w:pStyle w:val="4"/>
        <w:adjustRightInd w:val="0"/>
        <w:snapToGrid w:val="0"/>
        <w:spacing w:before="0" w:after="0" w:line="360" w:lineRule="auto"/>
        <w:jc w:val="center"/>
        <w:rPr>
          <w:rFonts w:ascii="宋体" w:hAnsi="宋体"/>
          <w:b w:val="0"/>
          <w:bCs w:val="0"/>
          <w:color w:val="auto"/>
          <w:sz w:val="44"/>
          <w:szCs w:val="44"/>
          <w:highlight w:val="none"/>
        </w:rPr>
      </w:pPr>
      <w:bookmarkStart w:id="598" w:name="_Toc224103494"/>
      <w:bookmarkStart w:id="599" w:name="_Toc287607866"/>
      <w:bookmarkStart w:id="600" w:name="_Toc430530529"/>
      <w:bookmarkStart w:id="601" w:name="_Toc277082642"/>
      <w:bookmarkStart w:id="602" w:name="_Toc287620813"/>
      <w:r>
        <w:rPr>
          <w:rFonts w:ascii="宋体" w:hAnsi="宋体"/>
          <w:b w:val="0"/>
          <w:bCs w:val="0"/>
          <w:color w:val="auto"/>
          <w:sz w:val="44"/>
          <w:szCs w:val="44"/>
          <w:highlight w:val="none"/>
        </w:rPr>
        <w:br w:type="page"/>
      </w:r>
      <w:bookmarkStart w:id="603" w:name="_Toc177985730"/>
      <w:r>
        <w:rPr>
          <w:rFonts w:hint="eastAsia" w:ascii="宋体" w:hAnsi="宋体"/>
          <w:b w:val="0"/>
          <w:bCs w:val="0"/>
          <w:color w:val="auto"/>
          <w:sz w:val="44"/>
          <w:szCs w:val="44"/>
          <w:highlight w:val="none"/>
        </w:rPr>
        <w:t>一、</w:t>
      </w:r>
      <w:r>
        <w:rPr>
          <w:rFonts w:hint="eastAsia" w:ascii="宋体" w:hAnsi="宋体"/>
          <w:b w:val="0"/>
          <w:bCs w:val="0"/>
          <w:color w:val="auto"/>
          <w:sz w:val="44"/>
          <w:szCs w:val="44"/>
          <w:highlight w:val="none"/>
          <w:lang w:eastAsia="zh-CN"/>
        </w:rPr>
        <w:t>投标</w:t>
      </w:r>
      <w:r>
        <w:rPr>
          <w:rFonts w:hint="eastAsia" w:ascii="宋体" w:hAnsi="宋体"/>
          <w:b w:val="0"/>
          <w:bCs w:val="0"/>
          <w:color w:val="auto"/>
          <w:sz w:val="44"/>
          <w:szCs w:val="44"/>
          <w:highlight w:val="none"/>
        </w:rPr>
        <w:t>函部分</w:t>
      </w:r>
      <w:bookmarkEnd w:id="598"/>
      <w:bookmarkEnd w:id="599"/>
      <w:bookmarkEnd w:id="600"/>
      <w:bookmarkEnd w:id="601"/>
      <w:bookmarkEnd w:id="602"/>
      <w:bookmarkEnd w:id="603"/>
    </w:p>
    <w:p w14:paraId="512DE951">
      <w:pPr>
        <w:pStyle w:val="5"/>
        <w:adjustRightInd w:val="0"/>
        <w:snapToGrid w:val="0"/>
        <w:spacing w:before="0" w:after="0" w:line="360" w:lineRule="auto"/>
        <w:jc w:val="center"/>
        <w:rPr>
          <w:rFonts w:ascii="宋体" w:hAnsi="宋体"/>
          <w:b w:val="0"/>
          <w:color w:val="auto"/>
          <w:highlight w:val="none"/>
        </w:rPr>
      </w:pPr>
      <w:bookmarkStart w:id="604" w:name="_Toc224103495"/>
      <w:bookmarkStart w:id="605" w:name="_Toc287620814"/>
      <w:bookmarkStart w:id="606" w:name="_Toc430530530"/>
      <w:bookmarkStart w:id="607" w:name="_Toc534185831"/>
      <w:bookmarkStart w:id="608" w:name="_Toc277082643"/>
      <w:bookmarkStart w:id="609" w:name="_Toc287607867"/>
      <w:bookmarkStart w:id="610" w:name="_Toc509218854"/>
      <w:r>
        <w:rPr>
          <w:rFonts w:ascii="宋体" w:hAnsi="宋体"/>
          <w:b w:val="0"/>
          <w:bCs w:val="0"/>
          <w:color w:val="auto"/>
          <w:highlight w:val="none"/>
        </w:rPr>
        <w:br w:type="page"/>
      </w:r>
      <w:bookmarkStart w:id="611" w:name="_Toc177985731"/>
      <w:r>
        <w:rPr>
          <w:rFonts w:hint="eastAsia" w:ascii="宋体" w:hAnsi="宋体"/>
          <w:b w:val="0"/>
          <w:bCs w:val="0"/>
          <w:color w:val="auto"/>
          <w:highlight w:val="none"/>
        </w:rPr>
        <w:t>（一）</w:t>
      </w:r>
      <w:r>
        <w:rPr>
          <w:rFonts w:hint="eastAsia" w:ascii="宋体" w:hAnsi="宋体"/>
          <w:b w:val="0"/>
          <w:bCs w:val="0"/>
          <w:color w:val="auto"/>
          <w:highlight w:val="none"/>
          <w:lang w:eastAsia="zh-CN"/>
        </w:rPr>
        <w:t>投标</w:t>
      </w:r>
      <w:r>
        <w:rPr>
          <w:rFonts w:hint="eastAsia" w:ascii="宋体" w:hAnsi="宋体"/>
          <w:b w:val="0"/>
          <w:bCs w:val="0"/>
          <w:color w:val="auto"/>
          <w:highlight w:val="none"/>
        </w:rPr>
        <w:t>函</w:t>
      </w:r>
      <w:bookmarkEnd w:id="604"/>
      <w:bookmarkEnd w:id="605"/>
      <w:bookmarkEnd w:id="606"/>
      <w:bookmarkEnd w:id="607"/>
      <w:bookmarkEnd w:id="608"/>
      <w:bookmarkEnd w:id="609"/>
      <w:bookmarkEnd w:id="610"/>
      <w:bookmarkEnd w:id="611"/>
    </w:p>
    <w:p w14:paraId="2B76E414">
      <w:pPr>
        <w:tabs>
          <w:tab w:val="left" w:pos="2640"/>
        </w:tabs>
        <w:autoSpaceDE w:val="0"/>
        <w:autoSpaceDN w:val="0"/>
        <w:adjustRightInd w:val="0"/>
        <w:snapToGri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lang w:eastAsia="zh-CN"/>
        </w:rPr>
        <w:t>招标人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4F56B329">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项目</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文件的全部内容，</w:t>
      </w:r>
      <w:r>
        <w:rPr>
          <w:rFonts w:hint="eastAsia" w:ascii="宋体" w:hAnsi="宋体"/>
          <w:snapToGrid w:val="0"/>
          <w:color w:val="auto"/>
          <w:kern w:val="0"/>
          <w:szCs w:val="21"/>
          <w:highlight w:val="none"/>
        </w:rPr>
        <w:t>愿意以下列方式进行报价：</w:t>
      </w:r>
    </w:p>
    <w:p w14:paraId="4134426F">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ascii="宋体" w:hAnsi="宋体"/>
          <w:color w:val="auto"/>
          <w:szCs w:val="21"/>
          <w:highlight w:val="none"/>
          <w:u w:val="single"/>
          <w:lang w:bidi="ar"/>
        </w:rPr>
      </w:pPr>
      <w:r>
        <w:rPr>
          <w:rFonts w:hint="eastAsia" w:ascii="宋体" w:hAnsi="宋体"/>
          <w:color w:val="auto"/>
          <w:szCs w:val="21"/>
          <w:highlight w:val="none"/>
          <w:lang w:bidi="ar"/>
        </w:rPr>
        <w:t>总报价为</w:t>
      </w:r>
      <w:r>
        <w:rPr>
          <w:rFonts w:hint="eastAsia" w:ascii="宋体" w:hAnsi="宋体"/>
          <w:color w:val="auto"/>
          <w:szCs w:val="21"/>
          <w:highlight w:val="none"/>
          <w:u w:val="single"/>
          <w:lang w:bidi="ar"/>
        </w:rPr>
        <w:t xml:space="preserve">人民币（大写）      </w:t>
      </w:r>
      <w:r>
        <w:rPr>
          <w:rFonts w:hint="eastAsia" w:ascii="宋体" w:hAnsi="宋体"/>
          <w:color w:val="auto"/>
          <w:szCs w:val="21"/>
          <w:highlight w:val="none"/>
          <w:lang w:bidi="ar"/>
        </w:rPr>
        <w:t>（¥</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w:t>
      </w:r>
      <w:r>
        <w:rPr>
          <w:rFonts w:ascii="宋体" w:hAnsi="宋体"/>
          <w:color w:val="auto"/>
          <w:szCs w:val="21"/>
          <w:highlight w:val="none"/>
          <w:lang w:bidi="ar"/>
        </w:rPr>
        <w:t>增值税税率为</w:t>
      </w:r>
      <w:r>
        <w:rPr>
          <w:rFonts w:ascii="宋体" w:hAnsi="宋体"/>
          <w:color w:val="auto"/>
          <w:szCs w:val="21"/>
          <w:highlight w:val="none"/>
          <w:u w:val="single"/>
          <w:lang w:bidi="ar"/>
        </w:rPr>
        <w:t xml:space="preserve"> </w:t>
      </w:r>
      <w:r>
        <w:rPr>
          <w:rFonts w:hint="eastAsia" w:ascii="宋体" w:hAnsi="宋体"/>
          <w:color w:val="auto"/>
          <w:szCs w:val="21"/>
          <w:highlight w:val="none"/>
          <w:u w:val="single"/>
          <w:lang w:bidi="ar"/>
        </w:rPr>
        <w:t xml:space="preserve">    </w:t>
      </w:r>
      <w:r>
        <w:rPr>
          <w:rFonts w:hint="eastAsia" w:ascii="宋体" w:hAnsi="宋体"/>
          <w:color w:val="auto"/>
          <w:szCs w:val="21"/>
          <w:highlight w:val="none"/>
          <w:lang w:bidi="ar"/>
        </w:rPr>
        <w:t>。</w:t>
      </w:r>
    </w:p>
    <w:p w14:paraId="626CD933">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ascii="宋体" w:hAnsi="宋体"/>
          <w:color w:val="auto"/>
          <w:szCs w:val="21"/>
          <w:highlight w:val="none"/>
          <w:lang w:bidi="ar"/>
        </w:rPr>
      </w:pPr>
      <w:r>
        <w:rPr>
          <w:rFonts w:hint="eastAsia" w:ascii="宋体" w:hAnsi="宋体"/>
          <w:color w:val="auto"/>
          <w:szCs w:val="21"/>
          <w:highlight w:val="none"/>
          <w:lang w:bidi="ar"/>
        </w:rPr>
        <w:t>以上报价均为含税价。</w:t>
      </w:r>
    </w:p>
    <w:p w14:paraId="2F37B4D8">
      <w:pPr>
        <w:tabs>
          <w:tab w:val="left" w:pos="2655"/>
          <w:tab w:val="left" w:pos="3520"/>
          <w:tab w:val="left" w:pos="4920"/>
          <w:tab w:val="left" w:pos="5715"/>
          <w:tab w:val="left" w:pos="6945"/>
          <w:tab w:val="left" w:pos="7980"/>
        </w:tabs>
        <w:autoSpaceDE w:val="0"/>
        <w:autoSpaceDN w:val="0"/>
        <w:adjustRightInd w:val="0"/>
        <w:snapToGrid w:val="0"/>
        <w:spacing w:line="360"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。交货期</w:t>
      </w:r>
      <w:r>
        <w:rPr>
          <w:rFonts w:hint="eastAsia" w:ascii="宋体" w:hAnsi="宋体"/>
          <w:snapToGrid w:val="0"/>
          <w:color w:val="auto"/>
          <w:kern w:val="0"/>
          <w:szCs w:val="21"/>
          <w:highlight w:val="none"/>
          <w:u w:val="single"/>
        </w:rPr>
        <w:t>符合</w:t>
      </w:r>
      <w:r>
        <w:rPr>
          <w:rFonts w:hint="eastAsia" w:ascii="宋体" w:hAnsi="宋体"/>
          <w:snapToGrid w:val="0"/>
          <w:color w:val="auto"/>
          <w:kern w:val="0"/>
          <w:szCs w:val="21"/>
          <w:highlight w:val="none"/>
          <w:u w:val="single"/>
          <w:lang w:eastAsia="zh-CN"/>
        </w:rPr>
        <w:t>招标</w:t>
      </w:r>
      <w:r>
        <w:rPr>
          <w:rFonts w:hint="eastAsia" w:ascii="宋体" w:hAnsi="宋体"/>
          <w:snapToGrid w:val="0"/>
          <w:color w:val="auto"/>
          <w:kern w:val="0"/>
          <w:szCs w:val="21"/>
          <w:highlight w:val="none"/>
          <w:u w:val="single"/>
        </w:rPr>
        <w:t>文件的要求</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质量</w:t>
      </w:r>
      <w:r>
        <w:rPr>
          <w:rFonts w:hint="eastAsia" w:ascii="宋体" w:hAnsi="宋体"/>
          <w:snapToGrid w:val="0"/>
          <w:color w:val="auto"/>
          <w:kern w:val="0"/>
          <w:szCs w:val="21"/>
          <w:highlight w:val="none"/>
          <w:u w:val="single"/>
        </w:rPr>
        <w:t>达到</w:t>
      </w:r>
      <w:r>
        <w:rPr>
          <w:rFonts w:hint="eastAsia" w:ascii="宋体" w:hAnsi="宋体"/>
          <w:snapToGrid w:val="0"/>
          <w:color w:val="auto"/>
          <w:kern w:val="0"/>
          <w:szCs w:val="21"/>
          <w:highlight w:val="none"/>
          <w:u w:val="single"/>
          <w:lang w:eastAsia="zh-CN"/>
        </w:rPr>
        <w:t>招标</w:t>
      </w:r>
      <w:r>
        <w:rPr>
          <w:rFonts w:hint="eastAsia" w:ascii="宋体" w:hAnsi="宋体"/>
          <w:snapToGrid w:val="0"/>
          <w:color w:val="auto"/>
          <w:kern w:val="0"/>
          <w:szCs w:val="21"/>
          <w:highlight w:val="none"/>
          <w:u w:val="single"/>
        </w:rPr>
        <w:t>文件的要求</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按合同约定完成</w:t>
      </w:r>
      <w:r>
        <w:rPr>
          <w:rFonts w:hint="eastAsia" w:ascii="宋体" w:hAnsi="宋体"/>
          <w:snapToGrid w:val="0"/>
          <w:color w:val="auto"/>
          <w:kern w:val="0"/>
          <w:szCs w:val="21"/>
          <w:highlight w:val="none"/>
        </w:rPr>
        <w:t>全部</w:t>
      </w:r>
      <w:r>
        <w:rPr>
          <w:rFonts w:ascii="宋体" w:hAnsi="宋体"/>
          <w:snapToGrid w:val="0"/>
          <w:color w:val="auto"/>
          <w:kern w:val="0"/>
          <w:szCs w:val="21"/>
          <w:highlight w:val="none"/>
        </w:rPr>
        <w:t>工作。</w:t>
      </w:r>
    </w:p>
    <w:p w14:paraId="67C608BF">
      <w:pPr>
        <w:autoSpaceDE w:val="0"/>
        <w:autoSpaceDN w:val="0"/>
        <w:adjustRightInd w:val="0"/>
        <w:snapToGri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w:t>
      </w:r>
      <w:r>
        <w:rPr>
          <w:rFonts w:hint="eastAsia" w:ascii="宋体" w:hAnsi="宋体"/>
          <w:snapToGrid w:val="0"/>
          <w:color w:val="auto"/>
          <w:kern w:val="0"/>
          <w:szCs w:val="21"/>
          <w:highlight w:val="none"/>
          <w:lang w:eastAsia="zh-CN"/>
        </w:rPr>
        <w:t>招标</w:t>
      </w:r>
      <w:r>
        <w:rPr>
          <w:rFonts w:hint="eastAsia" w:ascii="宋体" w:hAnsi="宋体"/>
          <w:snapToGrid w:val="0"/>
          <w:color w:val="auto"/>
          <w:kern w:val="0"/>
          <w:szCs w:val="21"/>
          <w:highlight w:val="none"/>
        </w:rPr>
        <w:t>文件规定的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在</w:t>
      </w:r>
      <w:r>
        <w:rPr>
          <w:rFonts w:hint="eastAsia" w:ascii="宋体" w:hAnsi="宋体"/>
          <w:snapToGrid w:val="0"/>
          <w:color w:val="auto"/>
          <w:kern w:val="0"/>
          <w:szCs w:val="21"/>
          <w:highlight w:val="none"/>
          <w:lang w:eastAsia="zh-CN"/>
        </w:rPr>
        <w:t>投标</w:t>
      </w:r>
      <w:r>
        <w:rPr>
          <w:rFonts w:ascii="宋体" w:hAnsi="宋体"/>
          <w:snapToGrid w:val="0"/>
          <w:color w:val="auto"/>
          <w:kern w:val="0"/>
          <w:szCs w:val="21"/>
          <w:highlight w:val="none"/>
        </w:rPr>
        <w:t>有效期内不修改、撤销</w:t>
      </w:r>
      <w:r>
        <w:rPr>
          <w:rFonts w:hint="eastAsia" w:ascii="宋体" w:hAnsi="宋体"/>
          <w:snapToGrid w:val="0"/>
          <w:color w:val="auto"/>
          <w:kern w:val="0"/>
          <w:szCs w:val="21"/>
          <w:highlight w:val="none"/>
          <w:lang w:eastAsia="zh-CN"/>
        </w:rPr>
        <w:t>投标文件</w:t>
      </w:r>
      <w:r>
        <w:rPr>
          <w:rFonts w:ascii="宋体" w:hAnsi="宋体"/>
          <w:snapToGrid w:val="0"/>
          <w:color w:val="auto"/>
          <w:kern w:val="0"/>
          <w:szCs w:val="21"/>
          <w:highlight w:val="none"/>
        </w:rPr>
        <w:t>。</w:t>
      </w:r>
    </w:p>
    <w:p w14:paraId="1914ACE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w:t>
      </w:r>
      <w:r>
        <w:rPr>
          <w:rFonts w:hint="eastAsia" w:ascii="宋体" w:hAnsi="宋体"/>
          <w:snapToGrid w:val="0"/>
          <w:color w:val="auto"/>
          <w:kern w:val="0"/>
          <w:szCs w:val="21"/>
          <w:highlight w:val="none"/>
          <w:lang w:eastAsia="zh-CN"/>
        </w:rPr>
        <w:t>中标</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我方承诺：</w:t>
      </w:r>
    </w:p>
    <w:p w14:paraId="21D7472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（1）在收到</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通知书后，在</w:t>
      </w:r>
      <w:r>
        <w:rPr>
          <w:rFonts w:hint="eastAsia" w:ascii="宋体" w:hAnsi="宋体"/>
          <w:snapToGrid w:val="0"/>
          <w:color w:val="auto"/>
          <w:kern w:val="0"/>
          <w:szCs w:val="21"/>
          <w:highlight w:val="none"/>
          <w:lang w:eastAsia="zh-CN"/>
        </w:rPr>
        <w:t>中标</w:t>
      </w:r>
      <w:r>
        <w:rPr>
          <w:rFonts w:ascii="宋体" w:hAnsi="宋体"/>
          <w:snapToGrid w:val="0"/>
          <w:color w:val="auto"/>
          <w:kern w:val="0"/>
          <w:szCs w:val="21"/>
          <w:highlight w:val="none"/>
        </w:rPr>
        <w:t>通知书规定的期限内与你方签订合同；</w:t>
      </w:r>
    </w:p>
    <w:p w14:paraId="7C750CF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（2）在签订合同时不向你方提出附加条件；</w:t>
      </w:r>
    </w:p>
    <w:p w14:paraId="519EA3F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（3）按照</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文件要求提交履约保证金；</w:t>
      </w:r>
    </w:p>
    <w:p w14:paraId="169492D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（4）在合同约定的期限内完成合同规定的全部义务。</w:t>
      </w:r>
    </w:p>
    <w:p w14:paraId="5AB1ADC4">
      <w:pPr>
        <w:autoSpaceDE w:val="0"/>
        <w:autoSpaceDN w:val="0"/>
        <w:adjustRightInd w:val="0"/>
        <w:snapToGrid w:val="0"/>
        <w:spacing w:line="360" w:lineRule="auto"/>
        <w:ind w:firstLine="420" w:firstLineChars="200"/>
        <w:rPr>
          <w:rFonts w:hint="eastAsia" w:ascii="宋体" w:hAnsi="宋体" w:eastAsia="宋体"/>
          <w:snapToGrid w:val="0"/>
          <w:color w:val="auto"/>
          <w:kern w:val="0"/>
          <w:szCs w:val="21"/>
          <w:highlight w:val="none"/>
          <w:lang w:eastAsia="zh-CN"/>
        </w:rPr>
      </w:pPr>
      <w:r>
        <w:rPr>
          <w:rFonts w:ascii="宋体" w:hAnsi="宋体"/>
          <w:snapToGrid w:val="0"/>
          <w:color w:val="auto"/>
          <w:kern w:val="0"/>
          <w:szCs w:val="21"/>
          <w:highlight w:val="none"/>
        </w:rPr>
        <w:t>（5）我方承诺以不低于</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文件第</w:t>
      </w:r>
      <w:r>
        <w:rPr>
          <w:rFonts w:hint="eastAsia" w:ascii="宋体" w:hAnsi="宋体"/>
          <w:snapToGrid w:val="0"/>
          <w:color w:val="auto"/>
          <w:kern w:val="0"/>
          <w:szCs w:val="21"/>
          <w:highlight w:val="none"/>
        </w:rPr>
        <w:t>五</w:t>
      </w:r>
      <w:r>
        <w:rPr>
          <w:rFonts w:ascii="宋体" w:hAnsi="宋体"/>
          <w:snapToGrid w:val="0"/>
          <w:color w:val="auto"/>
          <w:kern w:val="0"/>
          <w:szCs w:val="21"/>
          <w:highlight w:val="none"/>
        </w:rPr>
        <w:t>章“</w:t>
      </w:r>
      <w:r>
        <w:rPr>
          <w:rFonts w:hint="eastAsia" w:ascii="宋体" w:hAnsi="宋体"/>
          <w:snapToGrid w:val="0"/>
          <w:color w:val="auto"/>
          <w:kern w:val="0"/>
          <w:szCs w:val="21"/>
          <w:highlight w:val="none"/>
          <w:lang w:eastAsia="zh-CN"/>
        </w:rPr>
        <w:t>招标人</w:t>
      </w:r>
      <w:r>
        <w:rPr>
          <w:rFonts w:ascii="宋体" w:hAnsi="宋体"/>
          <w:snapToGrid w:val="0"/>
          <w:color w:val="auto"/>
          <w:kern w:val="0"/>
          <w:szCs w:val="21"/>
          <w:highlight w:val="none"/>
        </w:rPr>
        <w:t>要求”中所列的要求完成全部合同</w:t>
      </w:r>
      <w:r>
        <w:rPr>
          <w:rFonts w:hint="eastAsia" w:ascii="宋体" w:hAnsi="宋体"/>
          <w:snapToGrid w:val="0"/>
          <w:color w:val="auto"/>
          <w:kern w:val="0"/>
          <w:szCs w:val="21"/>
          <w:highlight w:val="none"/>
        </w:rPr>
        <w:t>工作</w:t>
      </w:r>
      <w:r>
        <w:rPr>
          <w:rFonts w:ascii="宋体" w:hAnsi="宋体"/>
          <w:snapToGrid w:val="0"/>
          <w:color w:val="auto"/>
          <w:kern w:val="0"/>
          <w:szCs w:val="21"/>
          <w:highlight w:val="none"/>
        </w:rPr>
        <w:t>。</w:t>
      </w:r>
    </w:p>
    <w:p w14:paraId="1B9436D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lang w:eastAsia="zh-CN"/>
        </w:rPr>
        <w:t>投标文件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lang w:eastAsia="zh-CN"/>
        </w:rPr>
        <w:t>投标人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招标</w:t>
      </w:r>
      <w:r>
        <w:rPr>
          <w:rFonts w:ascii="宋体" w:hAnsi="宋体"/>
          <w:snapToGrid w:val="0"/>
          <w:color w:val="auto"/>
          <w:kern w:val="0"/>
          <w:szCs w:val="21"/>
          <w:highlight w:val="none"/>
        </w:rPr>
        <w:t>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01ACE1E8">
      <w:pPr>
        <w:tabs>
          <w:tab w:val="left" w:pos="5985"/>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（其他补充说明）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60DA9619">
      <w:pPr>
        <w:tabs>
          <w:tab w:val="left" w:pos="7140"/>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p>
    <w:p w14:paraId="74602EF6">
      <w:pPr>
        <w:tabs>
          <w:tab w:val="left" w:pos="7140"/>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（盖单位</w:t>
      </w:r>
      <w:r>
        <w:rPr>
          <w:rFonts w:hint="eastAsia" w:ascii="宋体" w:hAnsi="宋体"/>
          <w:snapToGrid w:val="0"/>
          <w:color w:val="auto"/>
          <w:kern w:val="0"/>
          <w:szCs w:val="21"/>
          <w:highlight w:val="none"/>
        </w:rPr>
        <w:t>公</w:t>
      </w:r>
      <w:r>
        <w:rPr>
          <w:rFonts w:ascii="宋体" w:hAnsi="宋体"/>
          <w:snapToGrid w:val="0"/>
          <w:color w:val="auto"/>
          <w:kern w:val="0"/>
          <w:szCs w:val="21"/>
          <w:highlight w:val="none"/>
        </w:rPr>
        <w:t xml:space="preserve">章） </w:t>
      </w:r>
    </w:p>
    <w:p w14:paraId="236C4EC9">
      <w:pPr>
        <w:tabs>
          <w:tab w:val="left" w:pos="7140"/>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49E55F88">
      <w:pPr>
        <w:tabs>
          <w:tab w:val="left" w:pos="7035"/>
          <w:tab w:val="left" w:pos="7560"/>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6989713C">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0B107407">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23AD9346">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53A9B329">
      <w:pPr>
        <w:tabs>
          <w:tab w:val="left" w:pos="8300"/>
        </w:tabs>
        <w:autoSpaceDE w:val="0"/>
        <w:autoSpaceDN w:val="0"/>
        <w:adjustRightInd w:val="0"/>
        <w:snapToGrid w:val="0"/>
        <w:spacing w:line="360" w:lineRule="auto"/>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B77B5CF">
      <w:pPr>
        <w:tabs>
          <w:tab w:val="left" w:pos="8300"/>
        </w:tabs>
        <w:autoSpaceDE w:val="0"/>
        <w:autoSpaceDN w:val="0"/>
        <w:adjustRightInd w:val="0"/>
        <w:snapToGrid w:val="0"/>
        <w:spacing w:line="36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28D7F163">
      <w:pPr>
        <w:tabs>
          <w:tab w:val="left" w:pos="8300"/>
        </w:tabs>
        <w:autoSpaceDE w:val="0"/>
        <w:autoSpaceDN w:val="0"/>
        <w:adjustRightInd w:val="0"/>
        <w:snapToGrid w:val="0"/>
        <w:spacing w:line="360" w:lineRule="auto"/>
        <w:ind w:firstLine="420" w:firstLineChars="200"/>
        <w:jc w:val="right"/>
        <w:rPr>
          <w:rFonts w:ascii="宋体" w:hAnsi="宋体"/>
          <w:color w:val="auto"/>
          <w:kern w:val="0"/>
          <w:szCs w:val="21"/>
          <w:highlight w:val="none"/>
        </w:rPr>
      </w:pPr>
    </w:p>
    <w:p w14:paraId="41869C34">
      <w:pPr>
        <w:rPr>
          <w:rFonts w:hint="eastAsia" w:ascii="宋体" w:hAnsi="宋体"/>
          <w:color w:val="auto"/>
          <w:kern w:val="0"/>
          <w:szCs w:val="21"/>
          <w:highlight w:val="none"/>
        </w:rPr>
      </w:pPr>
      <w:r>
        <w:rPr>
          <w:rFonts w:hint="eastAsia" w:ascii="宋体" w:hAnsi="宋体"/>
          <w:color w:val="auto"/>
          <w:kern w:val="0"/>
          <w:szCs w:val="21"/>
          <w:highlight w:val="none"/>
        </w:rPr>
        <w:br w:type="page"/>
      </w:r>
    </w:p>
    <w:p w14:paraId="1247ED51">
      <w:pPr>
        <w:pStyle w:val="2"/>
        <w:rPr>
          <w:rFonts w:hint="eastAsia"/>
          <w:highlight w:val="none"/>
        </w:rPr>
      </w:pPr>
    </w:p>
    <w:p w14:paraId="4602FF22">
      <w:pPr>
        <w:pStyle w:val="5"/>
        <w:numPr>
          <w:ilvl w:val="0"/>
          <w:numId w:val="2"/>
        </w:numPr>
        <w:adjustRightInd w:val="0"/>
        <w:snapToGrid w:val="0"/>
        <w:spacing w:before="0" w:after="0" w:line="360" w:lineRule="auto"/>
        <w:jc w:val="center"/>
        <w:rPr>
          <w:rFonts w:hint="eastAsia" w:ascii="宋体" w:hAnsi="宋体"/>
          <w:b w:val="0"/>
          <w:bCs w:val="0"/>
          <w:color w:val="auto"/>
          <w:highlight w:val="none"/>
        </w:rPr>
      </w:pPr>
      <w:bookmarkStart w:id="612" w:name="_Toc177985732"/>
      <w:bookmarkStart w:id="613" w:name="_Toc430530532"/>
      <w:bookmarkStart w:id="614" w:name="_Toc287620816"/>
      <w:bookmarkStart w:id="615" w:name="_Toc287607869"/>
      <w:bookmarkStart w:id="616" w:name="_Toc277082645"/>
      <w:bookmarkStart w:id="617" w:name="_Toc224103497"/>
      <w:r>
        <w:rPr>
          <w:rFonts w:hint="eastAsia" w:ascii="宋体" w:hAnsi="宋体"/>
          <w:b w:val="0"/>
          <w:bCs w:val="0"/>
          <w:color w:val="auto"/>
          <w:highlight w:val="none"/>
        </w:rPr>
        <w:t>报价明细表</w:t>
      </w:r>
      <w:bookmarkEnd w:id="612"/>
    </w:p>
    <w:p w14:paraId="3CF67ED3">
      <w:pPr>
        <w:numPr>
          <w:ilvl w:val="0"/>
          <w:numId w:val="0"/>
        </w:numPr>
        <w:rPr>
          <w:highlight w:val="none"/>
        </w:rPr>
      </w:pPr>
    </w:p>
    <w:tbl>
      <w:tblPr>
        <w:tblStyle w:val="46"/>
        <w:tblW w:w="89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2"/>
        <w:gridCol w:w="1846"/>
        <w:gridCol w:w="1300"/>
        <w:gridCol w:w="1077"/>
        <w:gridCol w:w="1142"/>
        <w:gridCol w:w="1366"/>
        <w:gridCol w:w="1524"/>
      </w:tblGrid>
      <w:tr w14:paraId="02D63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48"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5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序号</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E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规格型号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7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数量（条）</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D2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单价报价</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A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highlight w:val="none"/>
                <w:u w:val="none"/>
              </w:rPr>
            </w:pPr>
            <w:r>
              <w:rPr>
                <w:rFonts w:hint="eastAsia" w:ascii="宋体" w:hAnsi="宋体" w:eastAsia="宋体" w:cs="宋体"/>
                <w:b/>
                <w:bCs/>
                <w:i w:val="0"/>
                <w:color w:val="000000"/>
                <w:kern w:val="0"/>
                <w:sz w:val="24"/>
                <w:szCs w:val="24"/>
                <w:highlight w:val="none"/>
                <w:u w:val="none"/>
                <w:lang w:val="en-US" w:eastAsia="zh-CN" w:bidi="ar"/>
              </w:rPr>
              <w:t>保质期（月）</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4B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保质里程（万公里）</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C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highlight w:val="none"/>
                <w:u w:val="none"/>
                <w:lang w:val="en-US" w:eastAsia="zh-CN" w:bidi="ar"/>
              </w:rPr>
            </w:pPr>
            <w:r>
              <w:rPr>
                <w:rFonts w:hint="eastAsia" w:ascii="宋体" w:hAnsi="宋体" w:eastAsia="宋体" w:cs="宋体"/>
                <w:b/>
                <w:bCs/>
                <w:i w:val="0"/>
                <w:color w:val="000000"/>
                <w:kern w:val="0"/>
                <w:sz w:val="24"/>
                <w:szCs w:val="24"/>
                <w:highlight w:val="none"/>
                <w:u w:val="none"/>
                <w:lang w:val="en-US" w:eastAsia="zh-CN" w:bidi="ar"/>
              </w:rPr>
              <w:t>备注</w:t>
            </w:r>
          </w:p>
        </w:tc>
      </w:tr>
      <w:tr w14:paraId="1ED7F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4100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35B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215/75R-17.5</w:t>
            </w:r>
          </w:p>
          <w:p w14:paraId="7A89AE4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普通型</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445E">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AEC8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014BB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50E35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8006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23D5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E92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lang w:val="en-US" w:eastAsia="zh-CN"/>
              </w:rPr>
            </w:pPr>
            <w:r>
              <w:rPr>
                <w:rFonts w:hint="eastAsia" w:ascii="宋体" w:hAnsi="宋体" w:eastAsia="宋体" w:cs="宋体"/>
                <w:i w:val="0"/>
                <w:color w:val="000000"/>
                <w:sz w:val="21"/>
                <w:szCs w:val="21"/>
                <w:highlight w:val="none"/>
                <w:u w:val="none"/>
                <w:lang w:val="en-US" w:eastAsia="zh-CN"/>
              </w:rPr>
              <w:t>2</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1E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245/70R-19.5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8DC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BC1F4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B13D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24933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7B28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39AA2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552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D6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255/70R-22.5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C45C">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054C7">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2D96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2105E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624B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0B42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EC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B3E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265/70R-19.5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B22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140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64D4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34D9F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AFE2F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E881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218B6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38D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5019">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275/70R-22.5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69D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280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024E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9482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B4A35">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A8202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13B6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A1C8">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085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295/80R-22.5-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0F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50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9A49A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3DFB0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0D8D9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987054">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2E6C4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2545">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D2D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9R-22.5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EA00">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F423C">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F3DE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04A71D">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35D45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5258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7"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A282">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F18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10R-22.5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C28D">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1ADCA3">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00011">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4677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65BADA">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0827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6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75D7">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804D">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11R-22.5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ABF">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200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A8418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4139C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75E0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5263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709F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56"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D856">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10</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F21F">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215/75R-17.5</w:t>
            </w:r>
          </w:p>
          <w:p w14:paraId="3F5D82F1">
            <w:pPr>
              <w:pStyle w:val="2"/>
              <w:keepNext w:val="0"/>
              <w:keepLines w:val="0"/>
              <w:suppressLineNumbers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加强型</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7D9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600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12C110">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D0B58">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F9E61F">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A53A2">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r w14:paraId="4ACA8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25" w:hRule="atLeast"/>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8DC1">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11</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9504">
            <w:pPr>
              <w:pStyle w:val="2"/>
              <w:keepNext w:val="0"/>
              <w:keepLines w:val="0"/>
              <w:suppressLineNumbers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2F56">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i w:val="0"/>
                <w:color w:val="000000"/>
                <w:kern w:val="0"/>
                <w:sz w:val="21"/>
                <w:szCs w:val="21"/>
                <w:highlight w:val="none"/>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A16D0B">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E625E">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3F319">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4CE836">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1"/>
                <w:szCs w:val="21"/>
                <w:highlight w:val="none"/>
                <w:u w:val="none"/>
              </w:rPr>
            </w:pPr>
          </w:p>
        </w:tc>
      </w:tr>
    </w:tbl>
    <w:p w14:paraId="6AF2E886">
      <w:pPr>
        <w:tabs>
          <w:tab w:val="left" w:pos="7140"/>
          <w:tab w:val="left" w:pos="7560"/>
          <w:tab w:val="left" w:pos="8300"/>
        </w:tabs>
        <w:autoSpaceDE w:val="0"/>
        <w:autoSpaceDN w:val="0"/>
        <w:adjustRightInd w:val="0"/>
        <w:snapToGrid w:val="0"/>
        <w:spacing w:line="360" w:lineRule="auto"/>
        <w:ind w:firstLine="2816" w:firstLineChars="1341"/>
        <w:rPr>
          <w:rFonts w:ascii="宋体" w:hAnsi="宋体"/>
          <w:snapToGrid w:val="0"/>
          <w:color w:val="auto"/>
          <w:kern w:val="0"/>
          <w:szCs w:val="21"/>
          <w:highlight w:val="none"/>
        </w:rPr>
      </w:pPr>
    </w:p>
    <w:p w14:paraId="39BF5D37">
      <w:pPr>
        <w:tabs>
          <w:tab w:val="left" w:pos="7140"/>
          <w:tab w:val="left" w:pos="7560"/>
          <w:tab w:val="left" w:pos="8300"/>
        </w:tabs>
        <w:autoSpaceDE w:val="0"/>
        <w:autoSpaceDN w:val="0"/>
        <w:adjustRightInd w:val="0"/>
        <w:snapToGrid w:val="0"/>
        <w:spacing w:line="360" w:lineRule="auto"/>
        <w:ind w:firstLine="2816" w:firstLineChars="1341"/>
        <w:rPr>
          <w:rFonts w:ascii="宋体" w:hAnsi="宋体"/>
          <w:snapToGrid w:val="0"/>
          <w:color w:val="auto"/>
          <w:kern w:val="0"/>
          <w:szCs w:val="21"/>
          <w:highlight w:val="none"/>
        </w:rPr>
      </w:pPr>
    </w:p>
    <w:p w14:paraId="184987A3">
      <w:pPr>
        <w:tabs>
          <w:tab w:val="left" w:pos="7140"/>
          <w:tab w:val="left" w:pos="7560"/>
          <w:tab w:val="left" w:pos="8300"/>
        </w:tabs>
        <w:autoSpaceDE w:val="0"/>
        <w:autoSpaceDN w:val="0"/>
        <w:adjustRightInd w:val="0"/>
        <w:snapToGrid w:val="0"/>
        <w:spacing w:line="480" w:lineRule="auto"/>
        <w:ind w:firstLine="2816" w:firstLineChars="1341"/>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竞  选</w:t>
      </w:r>
      <w:r>
        <w:rPr>
          <w:rFonts w:ascii="宋体" w:hAnsi="宋体"/>
          <w:snapToGrid w:val="0"/>
          <w:color w:val="auto"/>
          <w:kern w:val="0"/>
          <w:szCs w:val="21"/>
          <w:highlight w:val="none"/>
        </w:rPr>
        <w:t xml:space="preserve">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（盖单位</w:t>
      </w:r>
      <w:r>
        <w:rPr>
          <w:rFonts w:hint="eastAsia" w:ascii="宋体" w:hAnsi="宋体"/>
          <w:snapToGrid w:val="0"/>
          <w:color w:val="auto"/>
          <w:kern w:val="0"/>
          <w:szCs w:val="21"/>
          <w:highlight w:val="none"/>
        </w:rPr>
        <w:t>公</w:t>
      </w:r>
      <w:r>
        <w:rPr>
          <w:rFonts w:ascii="宋体" w:hAnsi="宋体"/>
          <w:snapToGrid w:val="0"/>
          <w:color w:val="auto"/>
          <w:kern w:val="0"/>
          <w:szCs w:val="21"/>
          <w:highlight w:val="none"/>
        </w:rPr>
        <w:t>章）</w:t>
      </w:r>
    </w:p>
    <w:p w14:paraId="13D81403">
      <w:pPr>
        <w:tabs>
          <w:tab w:val="left" w:pos="7140"/>
          <w:tab w:val="left" w:pos="7560"/>
          <w:tab w:val="left" w:pos="8300"/>
        </w:tabs>
        <w:autoSpaceDE w:val="0"/>
        <w:autoSpaceDN w:val="0"/>
        <w:adjustRightInd w:val="0"/>
        <w:snapToGrid w:val="0"/>
        <w:spacing w:line="480" w:lineRule="auto"/>
        <w:ind w:firstLine="2816" w:firstLineChars="1341"/>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54825158">
      <w:pPr>
        <w:tabs>
          <w:tab w:val="left" w:pos="7140"/>
          <w:tab w:val="left" w:pos="7560"/>
          <w:tab w:val="left" w:pos="8300"/>
        </w:tabs>
        <w:autoSpaceDE w:val="0"/>
        <w:autoSpaceDN w:val="0"/>
        <w:adjustRightInd w:val="0"/>
        <w:snapToGrid w:val="0"/>
        <w:spacing w:line="480" w:lineRule="auto"/>
        <w:ind w:firstLine="3024" w:firstLineChars="1440"/>
        <w:rPr>
          <w:rFonts w:hint="eastAsia" w:ascii="宋体" w:hAnsi="宋体" w:cs="宋体"/>
          <w:color w:val="auto"/>
          <w:kern w:val="0"/>
          <w:szCs w:val="21"/>
          <w:highlight w:val="none"/>
        </w:rPr>
      </w:pP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日</w:t>
      </w:r>
    </w:p>
    <w:p w14:paraId="2CA7CE0D">
      <w:pPr>
        <w:rPr>
          <w:rFonts w:hint="eastAsia"/>
          <w:color w:val="auto"/>
          <w:highlight w:val="none"/>
        </w:rPr>
      </w:pPr>
    </w:p>
    <w:p w14:paraId="32F34AE8">
      <w:pPr>
        <w:pStyle w:val="5"/>
        <w:adjustRightInd w:val="0"/>
        <w:snapToGrid w:val="0"/>
        <w:spacing w:before="0" w:after="0" w:line="360" w:lineRule="auto"/>
        <w:jc w:val="center"/>
        <w:rPr>
          <w:rFonts w:ascii="宋体" w:hAnsi="宋体"/>
          <w:b w:val="0"/>
          <w:bCs w:val="0"/>
          <w:color w:val="auto"/>
          <w:highlight w:val="none"/>
        </w:rPr>
      </w:pPr>
      <w:r>
        <w:rPr>
          <w:rFonts w:hint="eastAsia" w:ascii="宋体" w:hAnsi="宋体"/>
          <w:b w:val="0"/>
          <w:bCs w:val="0"/>
          <w:color w:val="auto"/>
          <w:highlight w:val="none"/>
        </w:rPr>
        <w:br w:type="page"/>
      </w:r>
      <w:bookmarkStart w:id="618" w:name="_Toc177985742"/>
      <w:r>
        <w:rPr>
          <w:rFonts w:hint="eastAsia" w:ascii="宋体" w:hAnsi="宋体"/>
          <w:b w:val="0"/>
          <w:bCs w:val="0"/>
          <w:color w:val="auto"/>
          <w:highlight w:val="none"/>
        </w:rPr>
        <w:t>（三）法定代表人身份证明或附有法定代表人身份证明的授权委托书</w:t>
      </w:r>
      <w:bookmarkEnd w:id="613"/>
      <w:bookmarkEnd w:id="614"/>
      <w:bookmarkEnd w:id="615"/>
      <w:bookmarkEnd w:id="616"/>
      <w:bookmarkEnd w:id="617"/>
      <w:bookmarkEnd w:id="618"/>
    </w:p>
    <w:p w14:paraId="71628F71">
      <w:pPr>
        <w:adjustRightInd w:val="0"/>
        <w:snapToGrid w:val="0"/>
        <w:spacing w:line="36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5D7DC503">
      <w:pPr>
        <w:adjustRightInd w:val="0"/>
        <w:snapToGrid w:val="0"/>
        <w:spacing w:line="360" w:lineRule="auto"/>
        <w:jc w:val="center"/>
        <w:rPr>
          <w:rFonts w:ascii="宋体" w:hAnsi="宋体"/>
          <w:color w:val="auto"/>
          <w:highlight w:val="none"/>
        </w:rPr>
      </w:pPr>
    </w:p>
    <w:p w14:paraId="603AE900">
      <w:pPr>
        <w:tabs>
          <w:tab w:val="left" w:pos="556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lang w:eastAsia="zh-CN"/>
        </w:rPr>
        <w:t>投标人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D7ED409">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67F2E79C">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CDCE62D">
      <w:pPr>
        <w:tabs>
          <w:tab w:val="left" w:pos="2520"/>
          <w:tab w:val="left" w:pos="3836"/>
        </w:tabs>
        <w:autoSpaceDE w:val="0"/>
        <w:autoSpaceDN w:val="0"/>
        <w:adjustRightInd w:val="0"/>
        <w:snapToGrid w:val="0"/>
        <w:spacing w:line="36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329B4F8D">
      <w:pPr>
        <w:tabs>
          <w:tab w:val="left" w:pos="5475"/>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3BA1E990">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E4319F7">
      <w:pPr>
        <w:tabs>
          <w:tab w:val="left" w:pos="336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eastAsia="zh-CN"/>
        </w:rPr>
        <w:t>投标人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220D5280">
      <w:pPr>
        <w:tabs>
          <w:tab w:val="left" w:pos="3360"/>
        </w:tabs>
        <w:autoSpaceDE w:val="0"/>
        <w:autoSpaceDN w:val="0"/>
        <w:adjustRightInd w:val="0"/>
        <w:snapToGrid w:val="0"/>
        <w:spacing w:line="36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4ADDADF9">
      <w:pPr>
        <w:autoSpaceDE w:val="0"/>
        <w:autoSpaceDN w:val="0"/>
        <w:adjustRightInd w:val="0"/>
        <w:snapToGrid w:val="0"/>
        <w:spacing w:line="36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附：法定代表人身份证明扫描件（双面）</w:t>
      </w:r>
    </w:p>
    <w:p w14:paraId="1E4E68E3">
      <w:pPr>
        <w:autoSpaceDE w:val="0"/>
        <w:autoSpaceDN w:val="0"/>
        <w:adjustRightInd w:val="0"/>
        <w:snapToGrid w:val="0"/>
        <w:spacing w:line="360" w:lineRule="auto"/>
        <w:jc w:val="left"/>
        <w:rPr>
          <w:rFonts w:ascii="宋体" w:hAnsi="宋体"/>
          <w:color w:val="auto"/>
          <w:szCs w:val="21"/>
          <w:highlight w:val="none"/>
        </w:rPr>
      </w:pPr>
    </w:p>
    <w:p w14:paraId="12D21584">
      <w:pPr>
        <w:pStyle w:val="2"/>
        <w:adjustRightInd w:val="0"/>
        <w:snapToGrid w:val="0"/>
        <w:spacing w:after="0" w:line="360" w:lineRule="auto"/>
        <w:rPr>
          <w:rFonts w:ascii="宋体" w:hAnsi="宋体"/>
          <w:color w:val="auto"/>
          <w:szCs w:val="21"/>
          <w:highlight w:val="none"/>
        </w:rPr>
      </w:pPr>
    </w:p>
    <w:p w14:paraId="4FF6DE2F">
      <w:pPr>
        <w:pStyle w:val="2"/>
        <w:adjustRightInd w:val="0"/>
        <w:snapToGrid w:val="0"/>
        <w:spacing w:after="0" w:line="360" w:lineRule="auto"/>
        <w:rPr>
          <w:rFonts w:ascii="宋体" w:hAnsi="宋体"/>
          <w:color w:val="auto"/>
          <w:szCs w:val="21"/>
          <w:highlight w:val="none"/>
        </w:rPr>
      </w:pPr>
    </w:p>
    <w:p w14:paraId="48124C45">
      <w:pPr>
        <w:pStyle w:val="2"/>
        <w:adjustRightInd w:val="0"/>
        <w:snapToGrid w:val="0"/>
        <w:spacing w:after="0" w:line="360" w:lineRule="auto"/>
        <w:rPr>
          <w:rFonts w:ascii="宋体" w:hAnsi="宋体"/>
          <w:color w:val="auto"/>
          <w:szCs w:val="21"/>
          <w:highlight w:val="none"/>
        </w:rPr>
      </w:pPr>
    </w:p>
    <w:p w14:paraId="46AB6710">
      <w:pPr>
        <w:tabs>
          <w:tab w:val="left" w:pos="5460"/>
        </w:tabs>
        <w:autoSpaceDE w:val="0"/>
        <w:autoSpaceDN w:val="0"/>
        <w:adjustRightInd w:val="0"/>
        <w:snapToGrid w:val="0"/>
        <w:spacing w:line="360" w:lineRule="auto"/>
        <w:ind w:firstLine="2100"/>
        <w:jc w:val="right"/>
        <w:rPr>
          <w:rFonts w:ascii="宋体" w:hAnsi="宋体"/>
          <w:color w:val="auto"/>
          <w:kern w:val="0"/>
          <w:szCs w:val="21"/>
          <w:highlight w:val="none"/>
        </w:rPr>
      </w:pPr>
      <w:r>
        <w:rPr>
          <w:rFonts w:hint="eastAsia" w:ascii="宋体" w:hAnsi="宋体"/>
          <w:color w:val="auto"/>
          <w:kern w:val="0"/>
          <w:szCs w:val="21"/>
          <w:highlight w:val="none"/>
          <w:lang w:eastAsia="zh-CN"/>
        </w:rPr>
        <w:t>投标人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w:t>
      </w:r>
      <w:r>
        <w:rPr>
          <w:rFonts w:hint="eastAsia" w:ascii="宋体" w:hAnsi="宋体"/>
          <w:color w:val="auto"/>
          <w:szCs w:val="21"/>
          <w:highlight w:val="none"/>
        </w:rPr>
        <w:t>公</w:t>
      </w:r>
      <w:r>
        <w:rPr>
          <w:rFonts w:ascii="宋体" w:hAnsi="宋体"/>
          <w:color w:val="auto"/>
          <w:kern w:val="0"/>
          <w:szCs w:val="21"/>
          <w:highlight w:val="none"/>
        </w:rPr>
        <w:t>章）</w:t>
      </w:r>
    </w:p>
    <w:p w14:paraId="3AF836B9">
      <w:pPr>
        <w:autoSpaceDE w:val="0"/>
        <w:autoSpaceDN w:val="0"/>
        <w:adjustRightInd w:val="0"/>
        <w:snapToGrid w:val="0"/>
        <w:spacing w:line="360" w:lineRule="auto"/>
        <w:jc w:val="left"/>
        <w:rPr>
          <w:rFonts w:ascii="宋体" w:hAnsi="宋体"/>
          <w:color w:val="auto"/>
          <w:kern w:val="0"/>
          <w:sz w:val="20"/>
          <w:szCs w:val="20"/>
          <w:highlight w:val="none"/>
        </w:rPr>
      </w:pPr>
    </w:p>
    <w:p w14:paraId="2967CC14">
      <w:pPr>
        <w:tabs>
          <w:tab w:val="left" w:pos="4935"/>
          <w:tab w:val="left" w:pos="5460"/>
          <w:tab w:val="left" w:pos="6400"/>
        </w:tabs>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C59181">
      <w:pPr>
        <w:autoSpaceDE w:val="0"/>
        <w:autoSpaceDN w:val="0"/>
        <w:adjustRightInd w:val="0"/>
        <w:snapToGrid w:val="0"/>
        <w:spacing w:line="360" w:lineRule="auto"/>
        <w:jc w:val="left"/>
        <w:rPr>
          <w:rFonts w:ascii="宋体" w:hAnsi="宋体"/>
          <w:color w:val="auto"/>
          <w:kern w:val="0"/>
          <w:highlight w:val="none"/>
        </w:rPr>
      </w:pPr>
    </w:p>
    <w:p w14:paraId="4C24705A">
      <w:pPr>
        <w:autoSpaceDE w:val="0"/>
        <w:autoSpaceDN w:val="0"/>
        <w:adjustRightInd w:val="0"/>
        <w:snapToGrid w:val="0"/>
        <w:spacing w:line="360" w:lineRule="auto"/>
        <w:jc w:val="left"/>
        <w:rPr>
          <w:rFonts w:ascii="宋体" w:hAnsi="宋体"/>
          <w:color w:val="auto"/>
          <w:kern w:val="0"/>
          <w:highlight w:val="none"/>
        </w:rPr>
      </w:pPr>
    </w:p>
    <w:p w14:paraId="24AB18C4">
      <w:pPr>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4B92BFE2">
      <w:pPr>
        <w:adjustRightInd w:val="0"/>
        <w:snapToGrid w:val="0"/>
        <w:spacing w:line="360" w:lineRule="auto"/>
        <w:ind w:firstLine="420" w:firstLineChars="200"/>
        <w:rPr>
          <w:rFonts w:ascii="宋体" w:hAnsi="宋体"/>
          <w:color w:val="auto"/>
          <w:highlight w:val="none"/>
        </w:rPr>
      </w:pPr>
    </w:p>
    <w:p w14:paraId="3E9CFD37">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highlight w:val="none"/>
        </w:rPr>
      </w:pPr>
      <w:r>
        <w:rPr>
          <w:rFonts w:ascii="宋体" w:hAnsi="宋体"/>
          <w:color w:val="auto"/>
          <w:kern w:val="0"/>
          <w:highlight w:val="none"/>
        </w:rPr>
        <w:br w:type="page"/>
      </w:r>
      <w:r>
        <w:rPr>
          <w:rFonts w:ascii="宋体" w:hAnsi="宋体"/>
          <w:snapToGrid w:val="0"/>
          <w:color w:val="auto"/>
          <w:kern w:val="0"/>
          <w:sz w:val="32"/>
          <w:szCs w:val="32"/>
          <w:highlight w:val="none"/>
        </w:rPr>
        <w:t>授权委托书</w:t>
      </w:r>
    </w:p>
    <w:p w14:paraId="3085250E">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color w:val="auto"/>
          <w:kern w:val="0"/>
          <w:szCs w:val="21"/>
          <w:highlight w:val="none"/>
        </w:rPr>
      </w:pPr>
    </w:p>
    <w:p w14:paraId="120FDED8">
      <w:pPr>
        <w:tabs>
          <w:tab w:val="left" w:pos="1680"/>
          <w:tab w:val="left" w:pos="4215"/>
          <w:tab w:val="left" w:pos="4305"/>
          <w:tab w:val="left" w:pos="8000"/>
        </w:tabs>
        <w:autoSpaceDE w:val="0"/>
        <w:autoSpaceDN w:val="0"/>
        <w:adjustRightInd w:val="0"/>
        <w:snapToGrid w:val="0"/>
        <w:spacing w:line="36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lang w:eastAsia="zh-CN"/>
        </w:rPr>
        <w:t>投标人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lang w:eastAsia="zh-CN"/>
        </w:rPr>
        <w:t>投标文件</w:t>
      </w:r>
      <w:r>
        <w:rPr>
          <w:rFonts w:ascii="宋体" w:hAnsi="宋体"/>
          <w:color w:val="auto"/>
          <w:kern w:val="0"/>
          <w:szCs w:val="21"/>
          <w:highlight w:val="none"/>
        </w:rPr>
        <w:t>、签订合同和处理有关事宜， 其法律后果由我方承担。</w:t>
      </w:r>
    </w:p>
    <w:p w14:paraId="0081695F">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7F607E33">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69263B5C">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p>
    <w:p w14:paraId="3B9FAD15">
      <w:pPr>
        <w:tabs>
          <w:tab w:val="left" w:pos="1680"/>
          <w:tab w:val="left" w:pos="4200"/>
          <w:tab w:val="left" w:pos="4305"/>
          <w:tab w:val="left" w:pos="8000"/>
        </w:tabs>
        <w:autoSpaceDE w:val="0"/>
        <w:autoSpaceDN w:val="0"/>
        <w:adjustRightInd w:val="0"/>
        <w:snapToGrid w:val="0"/>
        <w:spacing w:line="360" w:lineRule="auto"/>
        <w:ind w:firstLine="420"/>
        <w:rPr>
          <w:rFonts w:ascii="宋体" w:hAnsi="宋体"/>
          <w:color w:val="auto"/>
          <w:kern w:val="0"/>
          <w:szCs w:val="21"/>
          <w:highlight w:val="none"/>
        </w:rPr>
      </w:pPr>
      <w:r>
        <w:rPr>
          <w:rFonts w:ascii="宋体" w:hAnsi="宋体"/>
          <w:color w:val="auto"/>
          <w:kern w:val="0"/>
          <w:szCs w:val="21"/>
          <w:highlight w:val="none"/>
        </w:rPr>
        <w:t>竞  选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41D69997">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3145A1D">
      <w:pPr>
        <w:tabs>
          <w:tab w:val="left" w:pos="5260"/>
        </w:tabs>
        <w:autoSpaceDE w:val="0"/>
        <w:autoSpaceDN w:val="0"/>
        <w:adjustRightInd w:val="0"/>
        <w:snapToGrid w:val="0"/>
        <w:spacing w:line="36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5373A239">
      <w:pPr>
        <w:tabs>
          <w:tab w:val="left" w:pos="526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2B2B6693">
      <w:pPr>
        <w:tabs>
          <w:tab w:val="left" w:pos="6825"/>
        </w:tabs>
        <w:autoSpaceDE w:val="0"/>
        <w:autoSpaceDN w:val="0"/>
        <w:adjustRightInd w:val="0"/>
        <w:snapToGrid w:val="0"/>
        <w:spacing w:line="36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3B823C90">
      <w:pPr>
        <w:tabs>
          <w:tab w:val="left" w:pos="6825"/>
        </w:tabs>
        <w:autoSpaceDE w:val="0"/>
        <w:autoSpaceDN w:val="0"/>
        <w:adjustRightInd w:val="0"/>
        <w:snapToGrid w:val="0"/>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7C9052B6">
      <w:pPr>
        <w:tabs>
          <w:tab w:val="left" w:pos="526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委托代理人电话（手机）：</w:t>
      </w:r>
      <w:r>
        <w:rPr>
          <w:rFonts w:hint="eastAsia" w:ascii="宋体" w:hAnsi="宋体"/>
          <w:color w:val="auto"/>
          <w:kern w:val="0"/>
          <w:szCs w:val="21"/>
          <w:highlight w:val="none"/>
          <w:u w:val="single"/>
        </w:rPr>
        <w:t xml:space="preserve">                                          </w:t>
      </w:r>
    </w:p>
    <w:p w14:paraId="33640744">
      <w:pPr>
        <w:autoSpaceDE w:val="0"/>
        <w:autoSpaceDN w:val="0"/>
        <w:adjustRightInd w:val="0"/>
        <w:snapToGrid w:val="0"/>
        <w:spacing w:line="36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附：法定代表人和委托代理人身份证明扫描件（双面）</w:t>
      </w:r>
    </w:p>
    <w:p w14:paraId="65C72AE7">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1510D724">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A32C44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A945118">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A03C37B">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7C27D6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6766B6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625DE6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1B500D97">
      <w:pPr>
        <w:tabs>
          <w:tab w:val="left" w:pos="5760"/>
        </w:tabs>
        <w:autoSpaceDE w:val="0"/>
        <w:autoSpaceDN w:val="0"/>
        <w:adjustRightInd w:val="0"/>
        <w:snapToGrid w:val="0"/>
        <w:spacing w:line="360" w:lineRule="auto"/>
        <w:ind w:firstLine="420" w:firstLineChars="200"/>
        <w:rPr>
          <w:rFonts w:ascii="宋体" w:hAnsi="宋体"/>
          <w:color w:val="auto"/>
          <w:kern w:val="0"/>
          <w:highlight w:val="none"/>
        </w:rPr>
      </w:pPr>
    </w:p>
    <w:p w14:paraId="530A128E">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w:t>
      </w:r>
      <w:r>
        <w:rPr>
          <w:rFonts w:hint="eastAsia" w:ascii="宋体" w:hAnsi="宋体"/>
          <w:color w:val="auto"/>
          <w:kern w:val="0"/>
          <w:szCs w:val="21"/>
          <w:highlight w:val="none"/>
          <w:lang w:eastAsia="zh-CN"/>
        </w:rPr>
        <w:t>投标</w:t>
      </w:r>
      <w:r>
        <w:rPr>
          <w:rFonts w:ascii="宋体" w:hAnsi="宋体"/>
          <w:color w:val="auto"/>
          <w:kern w:val="0"/>
          <w:szCs w:val="21"/>
          <w:highlight w:val="none"/>
        </w:rPr>
        <w:t>活动并签署文件的不需要授权委托书，只需提供法定代表人身份证明；非法定代表人参加</w:t>
      </w:r>
      <w:r>
        <w:rPr>
          <w:rFonts w:hint="eastAsia" w:ascii="宋体" w:hAnsi="宋体"/>
          <w:color w:val="auto"/>
          <w:kern w:val="0"/>
          <w:szCs w:val="21"/>
          <w:highlight w:val="none"/>
          <w:lang w:eastAsia="zh-CN"/>
        </w:rPr>
        <w:t>投标</w:t>
      </w:r>
      <w:r>
        <w:rPr>
          <w:rFonts w:ascii="宋体" w:hAnsi="宋体"/>
          <w:color w:val="auto"/>
          <w:kern w:val="0"/>
          <w:szCs w:val="21"/>
          <w:highlight w:val="none"/>
        </w:rPr>
        <w:t>活动及签署文件的除提供法定代表人身份证明外还须提供授权委托书。</w:t>
      </w:r>
    </w:p>
    <w:p w14:paraId="5802F19D">
      <w:pPr>
        <w:tabs>
          <w:tab w:val="left" w:pos="1680"/>
          <w:tab w:val="left" w:pos="4215"/>
          <w:tab w:val="left" w:pos="4305"/>
          <w:tab w:val="left" w:pos="8000"/>
        </w:tabs>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2.</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bookmarkStart w:id="619" w:name="_Toc287607872"/>
      <w:bookmarkStart w:id="620" w:name="_Toc430530534"/>
      <w:bookmarkStart w:id="621" w:name="_Toc287620819"/>
      <w:bookmarkStart w:id="622" w:name="_Toc224103500"/>
    </w:p>
    <w:p w14:paraId="1C8484F2">
      <w:pPr>
        <w:pStyle w:val="4"/>
        <w:adjustRightInd w:val="0"/>
        <w:snapToGrid w:val="0"/>
        <w:spacing w:before="0" w:after="0" w:line="360" w:lineRule="auto"/>
        <w:jc w:val="center"/>
        <w:rPr>
          <w:rFonts w:ascii="宋体" w:hAnsi="宋体"/>
          <w:b w:val="0"/>
          <w:bCs w:val="0"/>
          <w:color w:val="auto"/>
          <w:sz w:val="44"/>
          <w:szCs w:val="44"/>
          <w:highlight w:val="none"/>
        </w:rPr>
      </w:pPr>
      <w:r>
        <w:rPr>
          <w:rFonts w:ascii="宋体" w:hAnsi="宋体"/>
          <w:b w:val="0"/>
          <w:bCs w:val="0"/>
          <w:color w:val="auto"/>
          <w:sz w:val="44"/>
          <w:szCs w:val="44"/>
          <w:highlight w:val="none"/>
        </w:rPr>
        <w:br w:type="page"/>
      </w:r>
      <w:bookmarkStart w:id="623" w:name="_Toc277082656"/>
      <w:bookmarkStart w:id="624" w:name="_Toc430530545"/>
      <w:bookmarkStart w:id="625" w:name="_Toc224103510"/>
      <w:bookmarkStart w:id="626" w:name="_Toc287620829"/>
      <w:bookmarkStart w:id="627" w:name="_Toc287607882"/>
      <w:bookmarkStart w:id="628" w:name="_Toc177985743"/>
      <w:r>
        <w:rPr>
          <w:rFonts w:hint="eastAsia" w:ascii="宋体" w:hAnsi="宋体"/>
          <w:b w:val="0"/>
          <w:bCs w:val="0"/>
          <w:color w:val="auto"/>
          <w:sz w:val="44"/>
          <w:szCs w:val="44"/>
          <w:highlight w:val="none"/>
        </w:rPr>
        <w:t>二、</w:t>
      </w:r>
      <w:bookmarkEnd w:id="623"/>
      <w:bookmarkEnd w:id="624"/>
      <w:bookmarkEnd w:id="625"/>
      <w:bookmarkEnd w:id="626"/>
      <w:bookmarkEnd w:id="627"/>
      <w:r>
        <w:rPr>
          <w:rFonts w:hint="eastAsia" w:ascii="宋体" w:hAnsi="宋体"/>
          <w:b w:val="0"/>
          <w:bCs w:val="0"/>
          <w:color w:val="auto"/>
          <w:sz w:val="44"/>
          <w:szCs w:val="44"/>
          <w:highlight w:val="none"/>
        </w:rPr>
        <w:t>资格审查部分</w:t>
      </w:r>
      <w:bookmarkEnd w:id="628"/>
    </w:p>
    <w:p w14:paraId="1E310591">
      <w:pPr>
        <w:pStyle w:val="5"/>
        <w:adjustRightInd w:val="0"/>
        <w:snapToGrid w:val="0"/>
        <w:spacing w:before="0" w:after="0" w:line="360" w:lineRule="auto"/>
        <w:jc w:val="center"/>
        <w:rPr>
          <w:rFonts w:ascii="宋体" w:hAnsi="宋体"/>
          <w:color w:val="auto"/>
          <w:highlight w:val="none"/>
        </w:rPr>
      </w:pPr>
      <w:bookmarkStart w:id="629" w:name="_Toc277082659"/>
      <w:bookmarkStart w:id="630" w:name="_Toc287607887"/>
      <w:r>
        <w:rPr>
          <w:rFonts w:ascii="宋体" w:hAnsi="宋体"/>
          <w:b w:val="0"/>
          <w:bCs w:val="0"/>
          <w:color w:val="auto"/>
          <w:highlight w:val="none"/>
        </w:rPr>
        <w:br w:type="page"/>
      </w:r>
      <w:bookmarkStart w:id="631" w:name="_Toc177985744"/>
      <w:r>
        <w:rPr>
          <w:rFonts w:hint="eastAsia" w:ascii="宋体" w:hAnsi="宋体"/>
          <w:b w:val="0"/>
          <w:bCs w:val="0"/>
          <w:color w:val="auto"/>
          <w:highlight w:val="none"/>
        </w:rPr>
        <w:t>（一）</w:t>
      </w:r>
      <w:r>
        <w:rPr>
          <w:rFonts w:hint="eastAsia" w:ascii="宋体" w:hAnsi="宋体"/>
          <w:b w:val="0"/>
          <w:bCs w:val="0"/>
          <w:color w:val="auto"/>
          <w:highlight w:val="none"/>
          <w:lang w:eastAsia="zh-CN"/>
        </w:rPr>
        <w:t>投标人</w:t>
      </w:r>
      <w:r>
        <w:rPr>
          <w:rFonts w:hint="eastAsia" w:ascii="宋体" w:hAnsi="宋体"/>
          <w:b w:val="0"/>
          <w:bCs w:val="0"/>
          <w:color w:val="auto"/>
          <w:highlight w:val="none"/>
        </w:rPr>
        <w:t>基本情况表</w:t>
      </w:r>
      <w:bookmarkEnd w:id="631"/>
    </w:p>
    <w:tbl>
      <w:tblPr>
        <w:tblStyle w:val="46"/>
        <w:tblW w:w="931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434"/>
        <w:gridCol w:w="914"/>
        <w:gridCol w:w="867"/>
        <w:gridCol w:w="301"/>
        <w:gridCol w:w="1292"/>
      </w:tblGrid>
      <w:tr w14:paraId="1108E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7ED7319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eastAsia" w:ascii="宋体" w:hAnsi="宋体" w:cs="宋体"/>
                <w:color w:val="auto"/>
                <w:kern w:val="0"/>
                <w:sz w:val="22"/>
                <w:szCs w:val="22"/>
                <w:highlight w:val="none"/>
                <w:lang w:eastAsia="zh-CN"/>
              </w:rPr>
              <w:t>投标人</w:t>
            </w:r>
            <w:r>
              <w:rPr>
                <w:rFonts w:hint="default" w:ascii="宋体" w:hAnsi="宋体" w:cs="宋体"/>
                <w:color w:val="auto"/>
                <w:kern w:val="0"/>
                <w:sz w:val="22"/>
                <w:szCs w:val="22"/>
                <w:highlight w:val="none"/>
                <w:lang w:eastAsia="en-US"/>
              </w:rPr>
              <w:t>名称</w:t>
            </w:r>
          </w:p>
        </w:tc>
        <w:tc>
          <w:tcPr>
            <w:tcW w:w="7176" w:type="dxa"/>
            <w:gridSpan w:val="8"/>
            <w:noWrap w:val="0"/>
            <w:vAlign w:val="center"/>
          </w:tcPr>
          <w:p w14:paraId="2DEA7DB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6EE95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2F55C4D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注册地址</w:t>
            </w:r>
          </w:p>
        </w:tc>
        <w:tc>
          <w:tcPr>
            <w:tcW w:w="3368" w:type="dxa"/>
            <w:gridSpan w:val="3"/>
            <w:noWrap w:val="0"/>
            <w:vAlign w:val="center"/>
          </w:tcPr>
          <w:p w14:paraId="060B81B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48" w:type="dxa"/>
            <w:gridSpan w:val="2"/>
            <w:noWrap w:val="0"/>
            <w:vAlign w:val="center"/>
          </w:tcPr>
          <w:p w14:paraId="62873A0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邮政编码</w:t>
            </w:r>
          </w:p>
        </w:tc>
        <w:tc>
          <w:tcPr>
            <w:tcW w:w="2460" w:type="dxa"/>
            <w:gridSpan w:val="3"/>
            <w:noWrap w:val="0"/>
            <w:vAlign w:val="center"/>
          </w:tcPr>
          <w:p w14:paraId="2E78023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4046C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vMerge w:val="restart"/>
            <w:noWrap w:val="0"/>
            <w:vAlign w:val="center"/>
          </w:tcPr>
          <w:p w14:paraId="2D13565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联系方式</w:t>
            </w:r>
          </w:p>
        </w:tc>
        <w:tc>
          <w:tcPr>
            <w:tcW w:w="941" w:type="dxa"/>
            <w:noWrap w:val="0"/>
            <w:vAlign w:val="center"/>
          </w:tcPr>
          <w:p w14:paraId="491FE77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联系人</w:t>
            </w:r>
          </w:p>
        </w:tc>
        <w:tc>
          <w:tcPr>
            <w:tcW w:w="2427" w:type="dxa"/>
            <w:gridSpan w:val="2"/>
            <w:noWrap w:val="0"/>
            <w:vAlign w:val="center"/>
          </w:tcPr>
          <w:p w14:paraId="7DBFBDF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48" w:type="dxa"/>
            <w:gridSpan w:val="2"/>
            <w:noWrap w:val="0"/>
            <w:vAlign w:val="center"/>
          </w:tcPr>
          <w:p w14:paraId="6C84F3A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电 话</w:t>
            </w:r>
          </w:p>
        </w:tc>
        <w:tc>
          <w:tcPr>
            <w:tcW w:w="2460" w:type="dxa"/>
            <w:gridSpan w:val="3"/>
            <w:noWrap w:val="0"/>
            <w:vAlign w:val="center"/>
          </w:tcPr>
          <w:p w14:paraId="15C7EDD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43DC2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vMerge w:val="continue"/>
            <w:tcBorders>
              <w:top w:val="nil"/>
            </w:tcBorders>
            <w:noWrap w:val="0"/>
            <w:vAlign w:val="center"/>
          </w:tcPr>
          <w:p w14:paraId="4B28D18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941" w:type="dxa"/>
            <w:noWrap w:val="0"/>
            <w:vAlign w:val="center"/>
          </w:tcPr>
          <w:p w14:paraId="682D8354">
            <w:pPr>
              <w:keepNext w:val="0"/>
              <w:keepLines w:val="0"/>
              <w:suppressLineNumbers w:val="0"/>
              <w:tabs>
                <w:tab w:val="left" w:pos="432"/>
              </w:tabs>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传</w:t>
            </w:r>
            <w:r>
              <w:rPr>
                <w:rFonts w:hint="default" w:ascii="宋体" w:hAnsi="宋体" w:cs="宋体"/>
                <w:color w:val="auto"/>
                <w:kern w:val="0"/>
                <w:sz w:val="22"/>
                <w:szCs w:val="22"/>
                <w:highlight w:val="none"/>
                <w:lang w:eastAsia="en-US"/>
              </w:rPr>
              <w:tab/>
            </w:r>
            <w:r>
              <w:rPr>
                <w:rFonts w:hint="default" w:ascii="宋体" w:hAnsi="宋体" w:cs="宋体"/>
                <w:color w:val="auto"/>
                <w:kern w:val="0"/>
                <w:sz w:val="22"/>
                <w:szCs w:val="22"/>
                <w:highlight w:val="none"/>
                <w:lang w:eastAsia="en-US"/>
              </w:rPr>
              <w:t>真</w:t>
            </w:r>
          </w:p>
        </w:tc>
        <w:tc>
          <w:tcPr>
            <w:tcW w:w="2427" w:type="dxa"/>
            <w:gridSpan w:val="2"/>
            <w:noWrap w:val="0"/>
            <w:vAlign w:val="center"/>
          </w:tcPr>
          <w:p w14:paraId="7D0320A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48" w:type="dxa"/>
            <w:gridSpan w:val="2"/>
            <w:noWrap w:val="0"/>
            <w:vAlign w:val="center"/>
          </w:tcPr>
          <w:p w14:paraId="13D0233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网 址</w:t>
            </w:r>
          </w:p>
        </w:tc>
        <w:tc>
          <w:tcPr>
            <w:tcW w:w="2460" w:type="dxa"/>
            <w:gridSpan w:val="3"/>
            <w:noWrap w:val="0"/>
            <w:vAlign w:val="center"/>
          </w:tcPr>
          <w:p w14:paraId="2840385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2462F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199E106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法定代表人</w:t>
            </w:r>
          </w:p>
        </w:tc>
        <w:tc>
          <w:tcPr>
            <w:tcW w:w="941" w:type="dxa"/>
            <w:noWrap w:val="0"/>
            <w:vAlign w:val="center"/>
          </w:tcPr>
          <w:p w14:paraId="50083F8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姓名</w:t>
            </w:r>
          </w:p>
        </w:tc>
        <w:tc>
          <w:tcPr>
            <w:tcW w:w="1076" w:type="dxa"/>
            <w:noWrap w:val="0"/>
            <w:vAlign w:val="center"/>
          </w:tcPr>
          <w:p w14:paraId="38E01FB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51" w:type="dxa"/>
            <w:noWrap w:val="0"/>
            <w:vAlign w:val="center"/>
          </w:tcPr>
          <w:p w14:paraId="5A1A034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技术职称</w:t>
            </w:r>
          </w:p>
        </w:tc>
        <w:tc>
          <w:tcPr>
            <w:tcW w:w="1348" w:type="dxa"/>
            <w:gridSpan w:val="2"/>
            <w:noWrap w:val="0"/>
            <w:vAlign w:val="center"/>
          </w:tcPr>
          <w:p w14:paraId="2E45D91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168" w:type="dxa"/>
            <w:gridSpan w:val="2"/>
            <w:noWrap w:val="0"/>
            <w:vAlign w:val="center"/>
          </w:tcPr>
          <w:p w14:paraId="557092A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电话</w:t>
            </w:r>
          </w:p>
        </w:tc>
        <w:tc>
          <w:tcPr>
            <w:tcW w:w="1292" w:type="dxa"/>
            <w:noWrap w:val="0"/>
            <w:vAlign w:val="center"/>
          </w:tcPr>
          <w:p w14:paraId="1303AAA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55692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56D4AFE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技术负责人</w:t>
            </w:r>
            <w:r>
              <w:rPr>
                <w:rFonts w:hint="eastAsia" w:ascii="宋体" w:hAnsi="宋体" w:cs="宋体"/>
                <w:color w:val="auto"/>
                <w:kern w:val="0"/>
                <w:sz w:val="22"/>
                <w:szCs w:val="22"/>
                <w:highlight w:val="none"/>
              </w:rPr>
              <w:t>（如有）</w:t>
            </w:r>
          </w:p>
        </w:tc>
        <w:tc>
          <w:tcPr>
            <w:tcW w:w="941" w:type="dxa"/>
            <w:noWrap w:val="0"/>
            <w:vAlign w:val="center"/>
          </w:tcPr>
          <w:p w14:paraId="3180FF8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姓名</w:t>
            </w:r>
          </w:p>
        </w:tc>
        <w:tc>
          <w:tcPr>
            <w:tcW w:w="1076" w:type="dxa"/>
            <w:noWrap w:val="0"/>
            <w:vAlign w:val="center"/>
          </w:tcPr>
          <w:p w14:paraId="62C8519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351" w:type="dxa"/>
            <w:noWrap w:val="0"/>
            <w:vAlign w:val="center"/>
          </w:tcPr>
          <w:p w14:paraId="0C2EFB7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技术职称</w:t>
            </w:r>
          </w:p>
        </w:tc>
        <w:tc>
          <w:tcPr>
            <w:tcW w:w="1348" w:type="dxa"/>
            <w:gridSpan w:val="2"/>
            <w:noWrap w:val="0"/>
            <w:vAlign w:val="center"/>
          </w:tcPr>
          <w:p w14:paraId="284803D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1168" w:type="dxa"/>
            <w:gridSpan w:val="2"/>
            <w:noWrap w:val="0"/>
            <w:vAlign w:val="center"/>
          </w:tcPr>
          <w:p w14:paraId="233C947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电话</w:t>
            </w:r>
          </w:p>
        </w:tc>
        <w:tc>
          <w:tcPr>
            <w:tcW w:w="1292" w:type="dxa"/>
            <w:noWrap w:val="0"/>
            <w:vAlign w:val="center"/>
          </w:tcPr>
          <w:p w14:paraId="42DC67D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0275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A922A0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default" w:ascii="宋体" w:hAnsi="宋体" w:cs="宋体"/>
                <w:color w:val="auto"/>
                <w:kern w:val="0"/>
                <w:sz w:val="22"/>
                <w:szCs w:val="22"/>
                <w:highlight w:val="none"/>
              </w:rPr>
              <w:t>企业资质证书</w:t>
            </w:r>
            <w:r>
              <w:rPr>
                <w:rFonts w:hint="eastAsia" w:ascii="宋体" w:hAnsi="宋体" w:cs="宋体"/>
                <w:color w:val="auto"/>
                <w:kern w:val="0"/>
                <w:sz w:val="22"/>
                <w:szCs w:val="22"/>
                <w:highlight w:val="none"/>
              </w:rPr>
              <w:t>（如有）</w:t>
            </w:r>
          </w:p>
        </w:tc>
        <w:tc>
          <w:tcPr>
            <w:tcW w:w="7176" w:type="dxa"/>
            <w:gridSpan w:val="8"/>
            <w:noWrap w:val="0"/>
            <w:vAlign w:val="center"/>
          </w:tcPr>
          <w:p w14:paraId="16F7CC2F">
            <w:pPr>
              <w:keepNext w:val="0"/>
              <w:keepLines w:val="0"/>
              <w:suppressLineNumbers w:val="0"/>
              <w:tabs>
                <w:tab w:val="left" w:pos="3790"/>
                <w:tab w:val="left" w:pos="5050"/>
              </w:tabs>
              <w:autoSpaceDE w:val="0"/>
              <w:autoSpaceDN w:val="0"/>
              <w:adjustRightInd w:val="0"/>
              <w:snapToGrid w:val="0"/>
              <w:spacing w:before="0" w:beforeAutospacing="0" w:after="0" w:afterAutospacing="0" w:line="360" w:lineRule="auto"/>
              <w:ind w:left="0" w:right="0"/>
              <w:rPr>
                <w:rFonts w:hint="default" w:ascii="宋体" w:hAnsi="宋体" w:cs="宋体"/>
                <w:color w:val="auto"/>
                <w:kern w:val="0"/>
                <w:sz w:val="22"/>
                <w:szCs w:val="22"/>
                <w:highlight w:val="none"/>
              </w:rPr>
            </w:pPr>
          </w:p>
        </w:tc>
      </w:tr>
      <w:tr w14:paraId="7F055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trPr>
        <w:tc>
          <w:tcPr>
            <w:tcW w:w="2143" w:type="dxa"/>
            <w:noWrap w:val="0"/>
            <w:vAlign w:val="center"/>
          </w:tcPr>
          <w:p w14:paraId="5826EE6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default" w:ascii="宋体" w:hAnsi="宋体" w:cs="宋体"/>
                <w:color w:val="auto"/>
                <w:kern w:val="0"/>
                <w:sz w:val="22"/>
                <w:szCs w:val="22"/>
                <w:highlight w:val="none"/>
              </w:rPr>
              <w:t>质量管理体系证书</w:t>
            </w:r>
          </w:p>
          <w:p w14:paraId="3DB33BC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default" w:ascii="宋体" w:hAnsi="宋体" w:cs="宋体"/>
                <w:color w:val="auto"/>
                <w:kern w:val="0"/>
                <w:sz w:val="22"/>
                <w:szCs w:val="22"/>
                <w:highlight w:val="none"/>
              </w:rPr>
              <w:t>（如有）</w:t>
            </w:r>
          </w:p>
        </w:tc>
        <w:tc>
          <w:tcPr>
            <w:tcW w:w="7176" w:type="dxa"/>
            <w:gridSpan w:val="8"/>
            <w:noWrap w:val="0"/>
            <w:vAlign w:val="center"/>
          </w:tcPr>
          <w:p w14:paraId="661655D3">
            <w:pPr>
              <w:keepNext w:val="0"/>
              <w:keepLines w:val="0"/>
              <w:suppressLineNumbers w:val="0"/>
              <w:tabs>
                <w:tab w:val="left" w:pos="3790"/>
                <w:tab w:val="left" w:pos="5050"/>
              </w:tabs>
              <w:autoSpaceDE w:val="0"/>
              <w:autoSpaceDN w:val="0"/>
              <w:adjustRightInd w:val="0"/>
              <w:snapToGrid w:val="0"/>
              <w:spacing w:before="0" w:beforeAutospacing="0" w:after="0" w:afterAutospacing="0" w:line="360" w:lineRule="auto"/>
              <w:ind w:left="0" w:right="0"/>
              <w:rPr>
                <w:rFonts w:hint="default" w:ascii="宋体" w:hAnsi="宋体" w:cs="宋体"/>
                <w:color w:val="auto"/>
                <w:kern w:val="0"/>
                <w:sz w:val="22"/>
                <w:szCs w:val="22"/>
                <w:highlight w:val="none"/>
              </w:rPr>
            </w:pPr>
          </w:p>
        </w:tc>
      </w:tr>
      <w:tr w14:paraId="05DED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2143" w:type="dxa"/>
            <w:noWrap w:val="0"/>
            <w:vAlign w:val="center"/>
          </w:tcPr>
          <w:p w14:paraId="5C73C33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eastAsia" w:ascii="宋体" w:hAnsi="宋体" w:cs="宋体"/>
                <w:color w:val="auto"/>
                <w:sz w:val="22"/>
                <w:highlight w:val="none"/>
                <w:lang w:eastAsia="en-US"/>
              </w:rPr>
              <w:t>统一社会信用代码</w:t>
            </w:r>
          </w:p>
        </w:tc>
        <w:tc>
          <w:tcPr>
            <w:tcW w:w="3368" w:type="dxa"/>
            <w:gridSpan w:val="3"/>
            <w:noWrap w:val="0"/>
            <w:vAlign w:val="center"/>
          </w:tcPr>
          <w:p w14:paraId="2E31376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3808" w:type="dxa"/>
            <w:gridSpan w:val="5"/>
            <w:noWrap w:val="0"/>
            <w:vAlign w:val="center"/>
          </w:tcPr>
          <w:p w14:paraId="39FBD530">
            <w:pPr>
              <w:keepNext w:val="0"/>
              <w:keepLines w:val="0"/>
              <w:suppressLineNumbers w:val="0"/>
              <w:autoSpaceDE w:val="0"/>
              <w:autoSpaceDN w:val="0"/>
              <w:adjustRightInd w:val="0"/>
              <w:snapToGrid w:val="0"/>
              <w:spacing w:before="0" w:beforeAutospacing="0" w:after="0" w:afterAutospacing="0" w:line="360" w:lineRule="auto"/>
              <w:ind w:left="0" w:right="0"/>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员工总人数：</w:t>
            </w:r>
          </w:p>
        </w:tc>
      </w:tr>
      <w:tr w14:paraId="2AB64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13A6944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注册资本</w:t>
            </w:r>
          </w:p>
        </w:tc>
        <w:tc>
          <w:tcPr>
            <w:tcW w:w="3368" w:type="dxa"/>
            <w:gridSpan w:val="3"/>
            <w:noWrap w:val="0"/>
            <w:vAlign w:val="center"/>
          </w:tcPr>
          <w:p w14:paraId="01ED95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restart"/>
            <w:noWrap w:val="0"/>
            <w:vAlign w:val="center"/>
          </w:tcPr>
          <w:p w14:paraId="7859EB2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其中</w:t>
            </w:r>
          </w:p>
        </w:tc>
        <w:tc>
          <w:tcPr>
            <w:tcW w:w="1781" w:type="dxa"/>
            <w:gridSpan w:val="2"/>
            <w:noWrap w:val="0"/>
            <w:vAlign w:val="center"/>
          </w:tcPr>
          <w:p w14:paraId="2ACDE3E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高级职称人员</w:t>
            </w:r>
          </w:p>
        </w:tc>
        <w:tc>
          <w:tcPr>
            <w:tcW w:w="1593" w:type="dxa"/>
            <w:gridSpan w:val="2"/>
            <w:noWrap w:val="0"/>
            <w:vAlign w:val="center"/>
          </w:tcPr>
          <w:p w14:paraId="42F2200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7EBDF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624888B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成立日期</w:t>
            </w:r>
          </w:p>
        </w:tc>
        <w:tc>
          <w:tcPr>
            <w:tcW w:w="3368" w:type="dxa"/>
            <w:gridSpan w:val="3"/>
            <w:noWrap w:val="0"/>
            <w:vAlign w:val="center"/>
          </w:tcPr>
          <w:p w14:paraId="2234C1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continue"/>
            <w:tcBorders>
              <w:top w:val="nil"/>
            </w:tcBorders>
            <w:noWrap w:val="0"/>
            <w:vAlign w:val="center"/>
          </w:tcPr>
          <w:p w14:paraId="09B01C6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1781" w:type="dxa"/>
            <w:gridSpan w:val="2"/>
            <w:noWrap w:val="0"/>
            <w:vAlign w:val="center"/>
          </w:tcPr>
          <w:p w14:paraId="24B8211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中级职称人员</w:t>
            </w:r>
          </w:p>
        </w:tc>
        <w:tc>
          <w:tcPr>
            <w:tcW w:w="1593" w:type="dxa"/>
            <w:gridSpan w:val="2"/>
            <w:noWrap w:val="0"/>
            <w:vAlign w:val="center"/>
          </w:tcPr>
          <w:p w14:paraId="775FC3F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1F6A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5977A79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基本账户开户银行</w:t>
            </w:r>
          </w:p>
        </w:tc>
        <w:tc>
          <w:tcPr>
            <w:tcW w:w="3368" w:type="dxa"/>
            <w:gridSpan w:val="3"/>
            <w:noWrap w:val="0"/>
            <w:vAlign w:val="center"/>
          </w:tcPr>
          <w:p w14:paraId="4F93337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continue"/>
            <w:tcBorders>
              <w:top w:val="nil"/>
            </w:tcBorders>
            <w:noWrap w:val="0"/>
            <w:vAlign w:val="center"/>
          </w:tcPr>
          <w:p w14:paraId="48D093D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1781" w:type="dxa"/>
            <w:gridSpan w:val="2"/>
            <w:noWrap w:val="0"/>
            <w:vAlign w:val="center"/>
          </w:tcPr>
          <w:p w14:paraId="3D27558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技术人员数量</w:t>
            </w:r>
          </w:p>
        </w:tc>
        <w:tc>
          <w:tcPr>
            <w:tcW w:w="1593" w:type="dxa"/>
            <w:gridSpan w:val="2"/>
            <w:noWrap w:val="0"/>
            <w:vAlign w:val="center"/>
          </w:tcPr>
          <w:p w14:paraId="10D0169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02E51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1E361DC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基本账户银行账号</w:t>
            </w:r>
          </w:p>
        </w:tc>
        <w:tc>
          <w:tcPr>
            <w:tcW w:w="3368" w:type="dxa"/>
            <w:gridSpan w:val="3"/>
            <w:noWrap w:val="0"/>
            <w:vAlign w:val="center"/>
          </w:tcPr>
          <w:p w14:paraId="3AB741E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c>
          <w:tcPr>
            <w:tcW w:w="434" w:type="dxa"/>
            <w:vMerge w:val="continue"/>
            <w:tcBorders>
              <w:top w:val="nil"/>
            </w:tcBorders>
            <w:noWrap w:val="0"/>
            <w:vAlign w:val="center"/>
          </w:tcPr>
          <w:p w14:paraId="5913FC1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
                <w:szCs w:val="2"/>
                <w:highlight w:val="none"/>
                <w:lang w:eastAsia="en-US"/>
              </w:rPr>
            </w:pPr>
          </w:p>
        </w:tc>
        <w:tc>
          <w:tcPr>
            <w:tcW w:w="1781" w:type="dxa"/>
            <w:gridSpan w:val="2"/>
            <w:noWrap w:val="0"/>
            <w:vAlign w:val="center"/>
          </w:tcPr>
          <w:p w14:paraId="095DB92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各类注册人员</w:t>
            </w:r>
          </w:p>
        </w:tc>
        <w:tc>
          <w:tcPr>
            <w:tcW w:w="1593" w:type="dxa"/>
            <w:gridSpan w:val="2"/>
            <w:noWrap w:val="0"/>
            <w:vAlign w:val="center"/>
          </w:tcPr>
          <w:p w14:paraId="0948D842">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0A474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2143" w:type="dxa"/>
            <w:noWrap w:val="0"/>
            <w:vAlign w:val="center"/>
          </w:tcPr>
          <w:p w14:paraId="37AD63A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经营范围</w:t>
            </w:r>
          </w:p>
        </w:tc>
        <w:tc>
          <w:tcPr>
            <w:tcW w:w="7176" w:type="dxa"/>
            <w:gridSpan w:val="8"/>
            <w:noWrap w:val="0"/>
            <w:vAlign w:val="center"/>
          </w:tcPr>
          <w:p w14:paraId="47071E35">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r w14:paraId="7E455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3" w:hRule="atLeast"/>
        </w:trPr>
        <w:tc>
          <w:tcPr>
            <w:tcW w:w="2143" w:type="dxa"/>
            <w:noWrap w:val="0"/>
            <w:vAlign w:val="center"/>
          </w:tcPr>
          <w:p w14:paraId="195C216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rPr>
            </w:pPr>
            <w:r>
              <w:rPr>
                <w:rFonts w:hint="eastAsia" w:ascii="宋体" w:hAnsi="宋体" w:cs="宋体"/>
                <w:color w:val="auto"/>
                <w:spacing w:val="-3"/>
                <w:kern w:val="0"/>
                <w:sz w:val="22"/>
                <w:szCs w:val="22"/>
                <w:highlight w:val="none"/>
                <w:lang w:eastAsia="zh-CN"/>
              </w:rPr>
              <w:t>投标人</w:t>
            </w:r>
            <w:r>
              <w:rPr>
                <w:rFonts w:hint="default" w:ascii="宋体" w:hAnsi="宋体" w:cs="宋体"/>
                <w:color w:val="auto"/>
                <w:spacing w:val="-3"/>
                <w:kern w:val="0"/>
                <w:sz w:val="22"/>
                <w:szCs w:val="22"/>
                <w:highlight w:val="none"/>
              </w:rPr>
              <w:t>关联企业情</w:t>
            </w:r>
            <w:r>
              <w:rPr>
                <w:rFonts w:hint="default" w:ascii="宋体" w:hAnsi="宋体" w:cs="宋体"/>
                <w:color w:val="auto"/>
                <w:spacing w:val="-60"/>
                <w:kern w:val="0"/>
                <w:sz w:val="22"/>
                <w:szCs w:val="22"/>
                <w:highlight w:val="none"/>
              </w:rPr>
              <w:t>况</w:t>
            </w:r>
            <w:r>
              <w:rPr>
                <w:rFonts w:hint="default" w:ascii="宋体" w:hAnsi="宋体" w:cs="宋体"/>
                <w:color w:val="auto"/>
                <w:kern w:val="0"/>
                <w:sz w:val="22"/>
                <w:szCs w:val="22"/>
                <w:highlight w:val="none"/>
              </w:rPr>
              <w:t>（</w:t>
            </w:r>
            <w:r>
              <w:rPr>
                <w:rFonts w:hint="default" w:ascii="宋体" w:hAnsi="宋体" w:cs="宋体"/>
                <w:color w:val="auto"/>
                <w:spacing w:val="-3"/>
                <w:kern w:val="0"/>
                <w:sz w:val="22"/>
                <w:szCs w:val="22"/>
                <w:highlight w:val="none"/>
              </w:rPr>
              <w:t>包括但不限于与</w:t>
            </w:r>
            <w:r>
              <w:rPr>
                <w:rFonts w:hint="eastAsia" w:ascii="宋体" w:hAnsi="宋体" w:cs="宋体"/>
                <w:color w:val="auto"/>
                <w:spacing w:val="-3"/>
                <w:kern w:val="0"/>
                <w:sz w:val="22"/>
                <w:szCs w:val="22"/>
                <w:highlight w:val="none"/>
                <w:lang w:eastAsia="zh-CN"/>
              </w:rPr>
              <w:t>投标人</w:t>
            </w:r>
            <w:r>
              <w:rPr>
                <w:rFonts w:hint="default" w:ascii="宋体" w:hAnsi="宋体" w:cs="宋体"/>
                <w:color w:val="auto"/>
                <w:spacing w:val="-3"/>
                <w:kern w:val="0"/>
                <w:sz w:val="22"/>
                <w:szCs w:val="22"/>
                <w:highlight w:val="none"/>
              </w:rPr>
              <w:t>法定代表人为同一人或者存在</w:t>
            </w:r>
            <w:r>
              <w:rPr>
                <w:rFonts w:hint="default" w:ascii="宋体" w:hAnsi="宋体" w:cs="宋体"/>
                <w:color w:val="auto"/>
                <w:spacing w:val="-10"/>
                <w:kern w:val="0"/>
                <w:sz w:val="22"/>
                <w:szCs w:val="22"/>
                <w:highlight w:val="none"/>
              </w:rPr>
              <w:t>控股、管理关系的不</w:t>
            </w:r>
            <w:r>
              <w:rPr>
                <w:rFonts w:hint="default" w:ascii="宋体" w:hAnsi="宋体" w:cs="宋体"/>
                <w:color w:val="auto"/>
                <w:kern w:val="0"/>
                <w:sz w:val="22"/>
                <w:szCs w:val="22"/>
                <w:highlight w:val="none"/>
              </w:rPr>
              <w:t>同单位）</w:t>
            </w:r>
          </w:p>
        </w:tc>
        <w:tc>
          <w:tcPr>
            <w:tcW w:w="7176" w:type="dxa"/>
            <w:gridSpan w:val="8"/>
            <w:noWrap w:val="0"/>
            <w:vAlign w:val="center"/>
          </w:tcPr>
          <w:p w14:paraId="41DC9D7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rPr>
            </w:pPr>
          </w:p>
        </w:tc>
      </w:tr>
      <w:tr w14:paraId="782D5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2143" w:type="dxa"/>
            <w:noWrap w:val="0"/>
            <w:vAlign w:val="center"/>
          </w:tcPr>
          <w:p w14:paraId="1DA5D12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2"/>
                <w:szCs w:val="22"/>
                <w:highlight w:val="none"/>
                <w:lang w:eastAsia="en-US"/>
              </w:rPr>
            </w:pPr>
            <w:r>
              <w:rPr>
                <w:rFonts w:hint="default" w:ascii="宋体" w:hAnsi="宋体" w:cs="宋体"/>
                <w:color w:val="auto"/>
                <w:kern w:val="0"/>
                <w:sz w:val="22"/>
                <w:szCs w:val="22"/>
                <w:highlight w:val="none"/>
                <w:lang w:eastAsia="en-US"/>
              </w:rPr>
              <w:t>备注</w:t>
            </w:r>
          </w:p>
        </w:tc>
        <w:tc>
          <w:tcPr>
            <w:tcW w:w="7176" w:type="dxa"/>
            <w:gridSpan w:val="8"/>
            <w:noWrap w:val="0"/>
            <w:vAlign w:val="center"/>
          </w:tcPr>
          <w:p w14:paraId="467654B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default" w:ascii="宋体" w:hAnsi="宋体" w:cs="宋体"/>
                <w:color w:val="auto"/>
                <w:kern w:val="0"/>
                <w:sz w:val="20"/>
                <w:szCs w:val="22"/>
                <w:highlight w:val="none"/>
                <w:lang w:eastAsia="en-US"/>
              </w:rPr>
            </w:pPr>
          </w:p>
        </w:tc>
      </w:tr>
    </w:tbl>
    <w:p w14:paraId="3193CCF1">
      <w:pPr>
        <w:widowControl/>
        <w:spacing w:line="360" w:lineRule="auto"/>
        <w:jc w:val="left"/>
        <w:rPr>
          <w:rFonts w:ascii="宋体" w:hAnsi="宋体"/>
          <w:bCs/>
          <w:color w:val="auto"/>
          <w:sz w:val="32"/>
          <w:szCs w:val="32"/>
          <w:highlight w:val="none"/>
        </w:rPr>
      </w:pPr>
      <w:r>
        <w:rPr>
          <w:rFonts w:hint="eastAsia" w:ascii="宋体" w:hAnsi="宋体"/>
          <w:color w:val="auto"/>
          <w:szCs w:val="21"/>
          <w:highlight w:val="none"/>
        </w:rPr>
        <w:t>附相关证明材料。</w:t>
      </w:r>
    </w:p>
    <w:p w14:paraId="2D5987B7">
      <w:pPr>
        <w:adjustRightInd w:val="0"/>
        <w:snapToGrid w:val="0"/>
        <w:spacing w:line="360" w:lineRule="auto"/>
        <w:rPr>
          <w:rFonts w:ascii="宋体" w:hAnsi="宋体"/>
          <w:color w:val="auto"/>
          <w:szCs w:val="21"/>
          <w:highlight w:val="none"/>
        </w:rPr>
      </w:pPr>
    </w:p>
    <w:p w14:paraId="06E9BA8F">
      <w:pPr>
        <w:adjustRightInd w:val="0"/>
        <w:snapToGrid w:val="0"/>
        <w:spacing w:line="360" w:lineRule="auto"/>
        <w:rPr>
          <w:rFonts w:hint="eastAsia" w:ascii="宋体" w:hAnsi="宋体"/>
          <w:color w:val="auto"/>
          <w:szCs w:val="21"/>
          <w:highlight w:val="none"/>
        </w:rPr>
      </w:pPr>
    </w:p>
    <w:bookmarkEnd w:id="592"/>
    <w:bookmarkEnd w:id="593"/>
    <w:bookmarkEnd w:id="594"/>
    <w:bookmarkEnd w:id="596"/>
    <w:bookmarkEnd w:id="619"/>
    <w:bookmarkEnd w:id="620"/>
    <w:bookmarkEnd w:id="621"/>
    <w:bookmarkEnd w:id="622"/>
    <w:bookmarkEnd w:id="629"/>
    <w:bookmarkEnd w:id="630"/>
    <w:p w14:paraId="72F2F9CF">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（二）招标文件要求的相关资料</w:t>
      </w:r>
      <w:bookmarkStart w:id="632" w:name="_GoBack"/>
      <w:bookmarkEnd w:id="632"/>
    </w:p>
    <w:sectPr>
      <w:headerReference r:id="rId5" w:type="default"/>
      <w:footerReference r:id="rId6" w:type="default"/>
      <w:pgSz w:w="11906" w:h="16838"/>
      <w:pgMar w:top="1304" w:right="1304" w:bottom="130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0000000000000000000"/>
    <w:charset w:val="86"/>
    <w:family w:val="auto"/>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书宋简体">
    <w:altName w:val="微软雅黑"/>
    <w:panose1 w:val="00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F50DE">
    <w:pPr>
      <w:pStyle w:val="2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930AD">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0046C">
                          <w:pPr>
                            <w:pStyle w:val="29"/>
                            <w:jc w:val="center"/>
                          </w:pPr>
                          <w:r>
                            <w:t xml:space="preserve">- </w:t>
                          </w:r>
                          <w:r>
                            <w:fldChar w:fldCharType="begin"/>
                          </w:r>
                          <w:r>
                            <w:instrText xml:space="preserve"> PAGE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CPP/IAQAAmQMAAA4AAAAAAAAAAQAgAAAAHgEAAGRycy9lMm9Eb2Mu&#10;eG1sUEsFBgAAAAAGAAYAWQEAAFgFAAAAAA==&#10;">
              <v:fill on="f" focussize="0,0"/>
              <v:stroke on="f"/>
              <v:imagedata o:title=""/>
              <o:lock v:ext="edit" aspectratio="f"/>
              <v:textbox inset="0mm,0mm,0mm,0mm" style="mso-fit-shape-to-text:t;">
                <w:txbxContent>
                  <w:p w14:paraId="7CF0046C">
                    <w:pPr>
                      <w:pStyle w:val="29"/>
                      <w:jc w:val="center"/>
                    </w:pPr>
                    <w:r>
                      <w:t xml:space="preserve">- </w:t>
                    </w:r>
                    <w:r>
                      <w:fldChar w:fldCharType="begin"/>
                    </w:r>
                    <w:r>
                      <w:instrText xml:space="preserve"> PAGE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D2F8A">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76CDFBD">
                          <w:pPr>
                            <w:pStyle w:val="2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s0lY7tAAAAAFAQAADwAAAAAAAAABACAAAAAiAAAAZHJz&#10;L2Rvd25yZXYueG1sUEsBAhQAFAAAAAgAh07iQPCKo3rTAQAAowMAAA4AAAAAAAAAAQAgAAAAHwEA&#10;AGRycy9lMm9Eb2MueG1sUEsFBgAAAAAGAAYAWQEAAGQFAAAAAA==&#10;">
              <v:fill on="f" focussize="0,0"/>
              <v:stroke on="f" weight="0.5pt"/>
              <v:imagedata o:title=""/>
              <o:lock v:ext="edit" aspectratio="f"/>
              <v:textbox inset="0mm,0mm,0mm,0mm" style="mso-fit-shape-to-text:t;">
                <w:txbxContent>
                  <w:p w14:paraId="276CDFBD">
                    <w:pPr>
                      <w:pStyle w:val="29"/>
                    </w:pPr>
                    <w:r>
                      <w:rPr>
                        <w:rFonts w:hint="eastAsia"/>
                      </w:rPr>
                      <w:fldChar w:fldCharType="begin"/>
                    </w:r>
                    <w:r>
                      <w:rPr>
                        <w:rFonts w:hint="eastAsia"/>
                      </w:rPr>
                      <w:instrText xml:space="preserve"> PAGE  \* MERGEFORMAT </w:instrText>
                    </w:r>
                    <w:r>
                      <w:rPr>
                        <w:rFonts w:hint="eastAsia"/>
                      </w:rPr>
                      <w:fldChar w:fldCharType="separate"/>
                    </w:r>
                    <w:r>
                      <w:t>48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3E02F">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0D289"/>
    <w:multiLevelType w:val="singleLevel"/>
    <w:tmpl w:val="DE40D289"/>
    <w:lvl w:ilvl="0" w:tentative="0">
      <w:start w:val="2"/>
      <w:numFmt w:val="chineseCounting"/>
      <w:suff w:val="nothing"/>
      <w:lvlText w:val="（%1）"/>
      <w:lvlJc w:val="left"/>
      <w:rPr>
        <w:rFonts w:hint="eastAsia"/>
      </w:rPr>
    </w:lvl>
  </w:abstractNum>
  <w:abstractNum w:abstractNumId="1">
    <w:nsid w:val="612A1181"/>
    <w:multiLevelType w:val="singleLevel"/>
    <w:tmpl w:val="612A118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3MDExMjVhYmI5MmUzOWM2YmUyNDc1MWZlYjQxYWMifQ=="/>
  </w:docVars>
  <w:rsids>
    <w:rsidRoot w:val="00172A27"/>
    <w:rsid w:val="00014454"/>
    <w:rsid w:val="000154A0"/>
    <w:rsid w:val="00016611"/>
    <w:rsid w:val="00021FA2"/>
    <w:rsid w:val="00027E78"/>
    <w:rsid w:val="000329D3"/>
    <w:rsid w:val="0003331B"/>
    <w:rsid w:val="00036402"/>
    <w:rsid w:val="000532DE"/>
    <w:rsid w:val="00082C8A"/>
    <w:rsid w:val="000849F8"/>
    <w:rsid w:val="00093C8F"/>
    <w:rsid w:val="000A2155"/>
    <w:rsid w:val="000B2D5A"/>
    <w:rsid w:val="000D1139"/>
    <w:rsid w:val="000F32DD"/>
    <w:rsid w:val="001018FA"/>
    <w:rsid w:val="00131D11"/>
    <w:rsid w:val="00135F86"/>
    <w:rsid w:val="00137CA6"/>
    <w:rsid w:val="001424BF"/>
    <w:rsid w:val="00145DAE"/>
    <w:rsid w:val="001523A2"/>
    <w:rsid w:val="0015732D"/>
    <w:rsid w:val="00160BBF"/>
    <w:rsid w:val="00195250"/>
    <w:rsid w:val="001A05CE"/>
    <w:rsid w:val="001B1886"/>
    <w:rsid w:val="001D56C3"/>
    <w:rsid w:val="001D7C76"/>
    <w:rsid w:val="001E2DCE"/>
    <w:rsid w:val="001F1B86"/>
    <w:rsid w:val="00200499"/>
    <w:rsid w:val="002015F8"/>
    <w:rsid w:val="00227227"/>
    <w:rsid w:val="00236CCC"/>
    <w:rsid w:val="002408C2"/>
    <w:rsid w:val="00253538"/>
    <w:rsid w:val="00260BBC"/>
    <w:rsid w:val="0026711D"/>
    <w:rsid w:val="00280234"/>
    <w:rsid w:val="00280CEC"/>
    <w:rsid w:val="00284988"/>
    <w:rsid w:val="0028623B"/>
    <w:rsid w:val="002B48CF"/>
    <w:rsid w:val="00307E8C"/>
    <w:rsid w:val="00347662"/>
    <w:rsid w:val="003572E4"/>
    <w:rsid w:val="003645FA"/>
    <w:rsid w:val="0036548F"/>
    <w:rsid w:val="003B287F"/>
    <w:rsid w:val="003B6362"/>
    <w:rsid w:val="003D084C"/>
    <w:rsid w:val="003E09BC"/>
    <w:rsid w:val="003E537F"/>
    <w:rsid w:val="003F1599"/>
    <w:rsid w:val="004012A6"/>
    <w:rsid w:val="004022FE"/>
    <w:rsid w:val="00441985"/>
    <w:rsid w:val="00456770"/>
    <w:rsid w:val="00464D0F"/>
    <w:rsid w:val="004651BB"/>
    <w:rsid w:val="004666DB"/>
    <w:rsid w:val="004C1C10"/>
    <w:rsid w:val="004C4FF9"/>
    <w:rsid w:val="004D18F6"/>
    <w:rsid w:val="004E2A3B"/>
    <w:rsid w:val="004E573E"/>
    <w:rsid w:val="00500A6B"/>
    <w:rsid w:val="00506F39"/>
    <w:rsid w:val="0050798E"/>
    <w:rsid w:val="00517C25"/>
    <w:rsid w:val="0052002F"/>
    <w:rsid w:val="005200F7"/>
    <w:rsid w:val="00525B7E"/>
    <w:rsid w:val="005268E8"/>
    <w:rsid w:val="005451E3"/>
    <w:rsid w:val="00564B21"/>
    <w:rsid w:val="005751E0"/>
    <w:rsid w:val="005760A5"/>
    <w:rsid w:val="00586637"/>
    <w:rsid w:val="005B0371"/>
    <w:rsid w:val="005D05D6"/>
    <w:rsid w:val="005E203A"/>
    <w:rsid w:val="005E357B"/>
    <w:rsid w:val="005F29CE"/>
    <w:rsid w:val="005F5F05"/>
    <w:rsid w:val="006171D4"/>
    <w:rsid w:val="00621C17"/>
    <w:rsid w:val="006346DD"/>
    <w:rsid w:val="00635B07"/>
    <w:rsid w:val="00672867"/>
    <w:rsid w:val="0068502C"/>
    <w:rsid w:val="006E3FF5"/>
    <w:rsid w:val="006E7BBC"/>
    <w:rsid w:val="006F63C3"/>
    <w:rsid w:val="00702ECD"/>
    <w:rsid w:val="00724DF6"/>
    <w:rsid w:val="00724EB6"/>
    <w:rsid w:val="00734374"/>
    <w:rsid w:val="0074283F"/>
    <w:rsid w:val="0075075E"/>
    <w:rsid w:val="007623FA"/>
    <w:rsid w:val="007807A6"/>
    <w:rsid w:val="007C1580"/>
    <w:rsid w:val="007D1C3C"/>
    <w:rsid w:val="007D72F2"/>
    <w:rsid w:val="00801AE9"/>
    <w:rsid w:val="00811063"/>
    <w:rsid w:val="008140F2"/>
    <w:rsid w:val="00831699"/>
    <w:rsid w:val="0084265B"/>
    <w:rsid w:val="008526F9"/>
    <w:rsid w:val="00853364"/>
    <w:rsid w:val="00857922"/>
    <w:rsid w:val="0086071D"/>
    <w:rsid w:val="008744CC"/>
    <w:rsid w:val="008A3E07"/>
    <w:rsid w:val="008A4838"/>
    <w:rsid w:val="008B1653"/>
    <w:rsid w:val="008C0AB0"/>
    <w:rsid w:val="008C44F5"/>
    <w:rsid w:val="008C7FAC"/>
    <w:rsid w:val="008D6A96"/>
    <w:rsid w:val="008E5C6B"/>
    <w:rsid w:val="008F1A2A"/>
    <w:rsid w:val="009004F3"/>
    <w:rsid w:val="00911DD0"/>
    <w:rsid w:val="0093416B"/>
    <w:rsid w:val="00936415"/>
    <w:rsid w:val="0094010E"/>
    <w:rsid w:val="0094200C"/>
    <w:rsid w:val="00944579"/>
    <w:rsid w:val="009469CF"/>
    <w:rsid w:val="00950479"/>
    <w:rsid w:val="009545F5"/>
    <w:rsid w:val="009606F6"/>
    <w:rsid w:val="00984BBF"/>
    <w:rsid w:val="009A2755"/>
    <w:rsid w:val="009A67A7"/>
    <w:rsid w:val="009D0E17"/>
    <w:rsid w:val="009E77D0"/>
    <w:rsid w:val="009F4D4A"/>
    <w:rsid w:val="00A11DDD"/>
    <w:rsid w:val="00A132FE"/>
    <w:rsid w:val="00A31B11"/>
    <w:rsid w:val="00A33D53"/>
    <w:rsid w:val="00A341A9"/>
    <w:rsid w:val="00A35AD9"/>
    <w:rsid w:val="00A35E82"/>
    <w:rsid w:val="00A41338"/>
    <w:rsid w:val="00A55DD2"/>
    <w:rsid w:val="00A61DFB"/>
    <w:rsid w:val="00A7252E"/>
    <w:rsid w:val="00A94E99"/>
    <w:rsid w:val="00A96147"/>
    <w:rsid w:val="00A975F0"/>
    <w:rsid w:val="00AD34C0"/>
    <w:rsid w:val="00AF23E9"/>
    <w:rsid w:val="00B15DE0"/>
    <w:rsid w:val="00B610D5"/>
    <w:rsid w:val="00B75E50"/>
    <w:rsid w:val="00B92211"/>
    <w:rsid w:val="00B934E4"/>
    <w:rsid w:val="00BA3DED"/>
    <w:rsid w:val="00BB1D8A"/>
    <w:rsid w:val="00BB507E"/>
    <w:rsid w:val="00BC381C"/>
    <w:rsid w:val="00BC5C8C"/>
    <w:rsid w:val="00BD6E11"/>
    <w:rsid w:val="00BE37F0"/>
    <w:rsid w:val="00C01C3C"/>
    <w:rsid w:val="00C414EF"/>
    <w:rsid w:val="00C43FD7"/>
    <w:rsid w:val="00C559DF"/>
    <w:rsid w:val="00C601C8"/>
    <w:rsid w:val="00C8199C"/>
    <w:rsid w:val="00C829E0"/>
    <w:rsid w:val="00CA1B33"/>
    <w:rsid w:val="00CA7CB2"/>
    <w:rsid w:val="00CB0539"/>
    <w:rsid w:val="00CB36B2"/>
    <w:rsid w:val="00CB7185"/>
    <w:rsid w:val="00CC0EB4"/>
    <w:rsid w:val="00CC2489"/>
    <w:rsid w:val="00CC5B81"/>
    <w:rsid w:val="00CD03A1"/>
    <w:rsid w:val="00CE3BB2"/>
    <w:rsid w:val="00CF03B4"/>
    <w:rsid w:val="00D34036"/>
    <w:rsid w:val="00D45791"/>
    <w:rsid w:val="00D503CC"/>
    <w:rsid w:val="00D62774"/>
    <w:rsid w:val="00D70A84"/>
    <w:rsid w:val="00D76485"/>
    <w:rsid w:val="00D90372"/>
    <w:rsid w:val="00DC35ED"/>
    <w:rsid w:val="00DD2166"/>
    <w:rsid w:val="00DD62DF"/>
    <w:rsid w:val="00DD6542"/>
    <w:rsid w:val="00DD6BD6"/>
    <w:rsid w:val="00DE17AF"/>
    <w:rsid w:val="00E01736"/>
    <w:rsid w:val="00E031DC"/>
    <w:rsid w:val="00E04857"/>
    <w:rsid w:val="00E0726D"/>
    <w:rsid w:val="00E1489E"/>
    <w:rsid w:val="00E21EC5"/>
    <w:rsid w:val="00E54E48"/>
    <w:rsid w:val="00E607EE"/>
    <w:rsid w:val="00E726D0"/>
    <w:rsid w:val="00E762F6"/>
    <w:rsid w:val="00E874AC"/>
    <w:rsid w:val="00EA7445"/>
    <w:rsid w:val="00EB6E90"/>
    <w:rsid w:val="00EC3F1B"/>
    <w:rsid w:val="00EC4890"/>
    <w:rsid w:val="00ED2498"/>
    <w:rsid w:val="00EE2BF8"/>
    <w:rsid w:val="00EF4E77"/>
    <w:rsid w:val="00F02462"/>
    <w:rsid w:val="00F03788"/>
    <w:rsid w:val="00F12627"/>
    <w:rsid w:val="00F210F7"/>
    <w:rsid w:val="00F26E87"/>
    <w:rsid w:val="00F51A8D"/>
    <w:rsid w:val="00F7217E"/>
    <w:rsid w:val="00F75E3C"/>
    <w:rsid w:val="00F83658"/>
    <w:rsid w:val="00FB3574"/>
    <w:rsid w:val="00FC53E9"/>
    <w:rsid w:val="00FC5DBD"/>
    <w:rsid w:val="00FD283C"/>
    <w:rsid w:val="00FE1DC3"/>
    <w:rsid w:val="00FF6871"/>
    <w:rsid w:val="01840AE7"/>
    <w:rsid w:val="021B5477"/>
    <w:rsid w:val="036C07E0"/>
    <w:rsid w:val="051A6F66"/>
    <w:rsid w:val="0756371B"/>
    <w:rsid w:val="09052658"/>
    <w:rsid w:val="09D644E5"/>
    <w:rsid w:val="0A4338A8"/>
    <w:rsid w:val="0C0B43EA"/>
    <w:rsid w:val="0D453B0C"/>
    <w:rsid w:val="0F12762C"/>
    <w:rsid w:val="0FEB4A42"/>
    <w:rsid w:val="11254CC9"/>
    <w:rsid w:val="13C83C09"/>
    <w:rsid w:val="14101744"/>
    <w:rsid w:val="14BE3E4C"/>
    <w:rsid w:val="166E1598"/>
    <w:rsid w:val="172A4DE7"/>
    <w:rsid w:val="17D64FDF"/>
    <w:rsid w:val="187D1461"/>
    <w:rsid w:val="194B6D9A"/>
    <w:rsid w:val="19CF6119"/>
    <w:rsid w:val="1D242BDA"/>
    <w:rsid w:val="1D632887"/>
    <w:rsid w:val="1DA376A1"/>
    <w:rsid w:val="1DDA077F"/>
    <w:rsid w:val="1DFB0A72"/>
    <w:rsid w:val="1E0368D4"/>
    <w:rsid w:val="201E5EA7"/>
    <w:rsid w:val="20AC4ABE"/>
    <w:rsid w:val="22690097"/>
    <w:rsid w:val="238751B2"/>
    <w:rsid w:val="23BF2F0C"/>
    <w:rsid w:val="23F02BF2"/>
    <w:rsid w:val="265E3A66"/>
    <w:rsid w:val="26D60E05"/>
    <w:rsid w:val="28731691"/>
    <w:rsid w:val="2A164470"/>
    <w:rsid w:val="2A5445FC"/>
    <w:rsid w:val="2B2362C5"/>
    <w:rsid w:val="2BAB6CDC"/>
    <w:rsid w:val="2D127B03"/>
    <w:rsid w:val="2D4D1203"/>
    <w:rsid w:val="2D5C161A"/>
    <w:rsid w:val="2E29566B"/>
    <w:rsid w:val="2F082087"/>
    <w:rsid w:val="2F16433F"/>
    <w:rsid w:val="30BF5F98"/>
    <w:rsid w:val="312B7C81"/>
    <w:rsid w:val="31B934DF"/>
    <w:rsid w:val="322F3C9A"/>
    <w:rsid w:val="32EA6B0D"/>
    <w:rsid w:val="354D6418"/>
    <w:rsid w:val="358E580E"/>
    <w:rsid w:val="35FC68F7"/>
    <w:rsid w:val="3650549C"/>
    <w:rsid w:val="37492C0F"/>
    <w:rsid w:val="374D757A"/>
    <w:rsid w:val="37E262D2"/>
    <w:rsid w:val="38BD7626"/>
    <w:rsid w:val="390E7E8C"/>
    <w:rsid w:val="3AC57798"/>
    <w:rsid w:val="3BE906FA"/>
    <w:rsid w:val="3F40131F"/>
    <w:rsid w:val="3F6C29A0"/>
    <w:rsid w:val="3FC82B2C"/>
    <w:rsid w:val="4044666A"/>
    <w:rsid w:val="406F522A"/>
    <w:rsid w:val="4742291B"/>
    <w:rsid w:val="48631C17"/>
    <w:rsid w:val="49360642"/>
    <w:rsid w:val="4ABD14F2"/>
    <w:rsid w:val="4BA60D02"/>
    <w:rsid w:val="4DE146ED"/>
    <w:rsid w:val="4F2E480D"/>
    <w:rsid w:val="4F5D091F"/>
    <w:rsid w:val="50234908"/>
    <w:rsid w:val="50F55959"/>
    <w:rsid w:val="5107115C"/>
    <w:rsid w:val="51075C82"/>
    <w:rsid w:val="5287607F"/>
    <w:rsid w:val="52EE1A79"/>
    <w:rsid w:val="565423FB"/>
    <w:rsid w:val="57FD08FC"/>
    <w:rsid w:val="589D5BBA"/>
    <w:rsid w:val="594B1324"/>
    <w:rsid w:val="5BD32BB9"/>
    <w:rsid w:val="5C4D70B6"/>
    <w:rsid w:val="5CF038C0"/>
    <w:rsid w:val="5D336456"/>
    <w:rsid w:val="605479BB"/>
    <w:rsid w:val="61587CB0"/>
    <w:rsid w:val="617A4C05"/>
    <w:rsid w:val="61EE68EF"/>
    <w:rsid w:val="62846A8B"/>
    <w:rsid w:val="62A274F4"/>
    <w:rsid w:val="63450C88"/>
    <w:rsid w:val="657B13F8"/>
    <w:rsid w:val="69872FA0"/>
    <w:rsid w:val="6ADC65A7"/>
    <w:rsid w:val="6BD83CE5"/>
    <w:rsid w:val="6D524287"/>
    <w:rsid w:val="6D70750B"/>
    <w:rsid w:val="717767B4"/>
    <w:rsid w:val="728E470D"/>
    <w:rsid w:val="728F03CD"/>
    <w:rsid w:val="7487654A"/>
    <w:rsid w:val="752E5DB5"/>
    <w:rsid w:val="76671FFD"/>
    <w:rsid w:val="77973A89"/>
    <w:rsid w:val="781379F5"/>
    <w:rsid w:val="7BA00C4E"/>
    <w:rsid w:val="7C4702EF"/>
    <w:rsid w:val="7DB333F7"/>
    <w:rsid w:val="7E6D4A02"/>
    <w:rsid w:val="7EB62184"/>
    <w:rsid w:val="7EC44FDE"/>
    <w:rsid w:val="7F0A04A3"/>
    <w:rsid w:val="7FD95D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1" w:name="index 2"/>
    <w:lsdException w:uiPriority="1" w:name="index 3"/>
    <w:lsdException w:qFormat="1" w:unhideWhenUsed="0" w:uiPriority="0" w:semiHidden="0"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1" w:name="index heading"/>
    <w:lsdException w:qFormat="1" w:unhideWhenUsed="0" w:uiPriority="0" w:semiHidden="0" w:name="caption"/>
    <w:lsdException w:uiPriority="1" w:name="table of figures"/>
    <w:lsdException w:uiPriority="1" w:name="envelope address"/>
    <w:lsdException w:uiPriority="1" w:name="envelope return"/>
    <w:lsdException w:qFormat="1" w:unhideWhenUsed="0" w:uiPriority="0" w:semiHidden="0" w:name="footnote reference"/>
    <w:lsdException w:qFormat="1" w:unhideWhenUsed="0" w:uiPriority="0" w:semiHidden="0" w:name="annotation reference"/>
    <w:lsdException w:uiPriority="1"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0" w:semiHidden="0" w:name="Subtitle"/>
    <w:lsdException w:uiPriority="1" w:name="Salutation"/>
    <w:lsdException w:qFormat="1" w:unhideWhenUsed="0" w:uiPriority="99" w:semiHidden="0" w:name="Date"/>
    <w:lsdException w:qFormat="1" w:uiPriority="1" w:semiHidden="0" w:name="Body Text First Indent"/>
    <w:lsdException w:uiPriority="1" w:name="Body Text First Indent 2"/>
    <w:lsdException w:uiPriority="1"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1" w:name="E-mail Signature"/>
    <w:lsdException w:qFormat="1" w:uiPriority="0" w:semiHidden="0" w:name="Normal (Web)"/>
    <w:lsdException w:uiPriority="1" w:name="HTML Acronym"/>
    <w:lsdException w:uiPriority="1" w:name="HTML Address"/>
    <w:lsdException w:qFormat="1" w:uiPriority="99" w:semiHidden="0" w:name="HTML Cite"/>
    <w:lsdException w:qFormat="1" w:uiPriority="99" w:semiHidden="0" w:name="HTML Code"/>
    <w:lsdException w:qFormat="1" w:uiPriority="99" w:semiHidden="0" w:name="HTML Definition"/>
    <w:lsdException w:uiPriority="1" w:name="HTML Keyboard"/>
    <w:lsdException w:qFormat="1" w:uiPriority="0" w:semiHidden="0" w:name="HTML Preformatted"/>
    <w:lsdException w:uiPriority="1" w:name="HTML Sample"/>
    <w:lsdException w:uiPriority="1" w:name="HTML Typewriter"/>
    <w:lsdException w:qFormat="1" w:uiPriority="99" w:semiHidden="0" w:name="HTML Variable"/>
    <w:lsdException w:qFormat="1" w:uiPriority="99" w:semiHidden="0" w:name="Normal Table"/>
    <w:lsdException w:qFormat="1" w:unhideWhenUsed="0"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64"/>
    <w:qFormat/>
    <w:uiPriority w:val="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65"/>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6"/>
    <w:qFormat/>
    <w:uiPriority w:val="0"/>
    <w:pPr>
      <w:widowControl/>
      <w:spacing w:before="100" w:beforeAutospacing="1" w:after="100" w:afterAutospacing="1"/>
      <w:jc w:val="left"/>
      <w:outlineLvl w:val="3"/>
    </w:pPr>
    <w:rPr>
      <w:rFonts w:ascii="宋体" w:hAnsi="宋体"/>
      <w:b/>
      <w:bCs/>
      <w:kern w:val="0"/>
      <w:sz w:val="24"/>
    </w:rPr>
  </w:style>
  <w:style w:type="paragraph" w:styleId="7">
    <w:name w:val="heading 5"/>
    <w:basedOn w:val="1"/>
    <w:next w:val="1"/>
    <w:link w:val="67"/>
    <w:qFormat/>
    <w:uiPriority w:val="0"/>
    <w:pPr>
      <w:widowControl/>
      <w:spacing w:before="100" w:beforeAutospacing="1" w:after="100" w:afterAutospacing="1"/>
      <w:jc w:val="left"/>
      <w:outlineLvl w:val="4"/>
    </w:pPr>
    <w:rPr>
      <w:rFonts w:ascii="宋体" w:hAnsi="宋体"/>
      <w:b/>
      <w:bCs/>
      <w:kern w:val="0"/>
      <w:sz w:val="20"/>
      <w:szCs w:val="20"/>
    </w:rPr>
  </w:style>
  <w:style w:type="paragraph" w:styleId="8">
    <w:name w:val="heading 6"/>
    <w:basedOn w:val="9"/>
    <w:next w:val="1"/>
    <w:link w:val="69"/>
    <w:qFormat/>
    <w:uiPriority w:val="0"/>
    <w:pPr>
      <w:keepNext/>
      <w:keepLines/>
      <w:ind w:firstLine="200" w:firstLineChars="200"/>
      <w:outlineLvl w:val="5"/>
    </w:pPr>
    <w:rPr>
      <w:rFonts w:hAnsi="Arial"/>
    </w:rPr>
  </w:style>
  <w:style w:type="paragraph" w:styleId="10">
    <w:name w:val="heading 7"/>
    <w:basedOn w:val="1"/>
    <w:next w:val="1"/>
    <w:link w:val="70"/>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71"/>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7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unhideWhenUsed/>
    <w:qFormat/>
    <w:uiPriority w:val="1"/>
  </w:style>
  <w:style w:type="table" w:default="1" w:styleId="4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76"/>
    <w:qFormat/>
    <w:uiPriority w:val="0"/>
    <w:pPr>
      <w:spacing w:after="120"/>
    </w:pPr>
    <w:rPr>
      <w:kern w:val="0"/>
      <w:sz w:val="20"/>
    </w:rPr>
  </w:style>
  <w:style w:type="paragraph" w:styleId="9">
    <w:name w:val="Normal Indent"/>
    <w:basedOn w:val="1"/>
    <w:link w:val="68"/>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3"/>
    <w:qFormat/>
    <w:uiPriority w:val="0"/>
    <w:pPr>
      <w:shd w:val="clear" w:color="auto" w:fill="000080"/>
    </w:pPr>
    <w:rPr>
      <w:kern w:val="0"/>
      <w:sz w:val="20"/>
    </w:rPr>
  </w:style>
  <w:style w:type="paragraph" w:styleId="16">
    <w:name w:val="annotation text"/>
    <w:basedOn w:val="1"/>
    <w:link w:val="74"/>
    <w:qFormat/>
    <w:uiPriority w:val="0"/>
    <w:pPr>
      <w:jc w:val="left"/>
    </w:pPr>
    <w:rPr>
      <w:kern w:val="0"/>
      <w:sz w:val="20"/>
    </w:rPr>
  </w:style>
  <w:style w:type="paragraph" w:styleId="17">
    <w:name w:val="Body Text 3"/>
    <w:basedOn w:val="1"/>
    <w:link w:val="75"/>
    <w:qFormat/>
    <w:uiPriority w:val="0"/>
    <w:pPr>
      <w:spacing w:after="120"/>
    </w:pPr>
    <w:rPr>
      <w:kern w:val="0"/>
      <w:sz w:val="16"/>
      <w:szCs w:val="16"/>
    </w:rPr>
  </w:style>
  <w:style w:type="paragraph" w:styleId="18">
    <w:name w:val="Body Text Indent"/>
    <w:basedOn w:val="1"/>
    <w:link w:val="77"/>
    <w:qFormat/>
    <w:uiPriority w:val="0"/>
    <w:pPr>
      <w:ind w:firstLine="407" w:firstLine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78"/>
    <w:qFormat/>
    <w:uiPriority w:val="0"/>
    <w:rPr>
      <w:rFonts w:ascii="宋体" w:hAnsi="Courier New"/>
      <w:kern w:val="0"/>
      <w:sz w:val="20"/>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79"/>
    <w:qFormat/>
    <w:uiPriority w:val="99"/>
    <w:pPr>
      <w:ind w:left="100" w:leftChars="2500"/>
    </w:pPr>
    <w:rPr>
      <w:kern w:val="0"/>
      <w:sz w:val="20"/>
    </w:rPr>
  </w:style>
  <w:style w:type="paragraph" w:styleId="26">
    <w:name w:val="Body Text Indent 2"/>
    <w:basedOn w:val="1"/>
    <w:link w:val="80"/>
    <w:qFormat/>
    <w:uiPriority w:val="0"/>
    <w:pPr>
      <w:widowControl/>
      <w:spacing w:line="480" w:lineRule="auto"/>
      <w:ind w:firstLine="560"/>
      <w:jc w:val="left"/>
    </w:pPr>
    <w:rPr>
      <w:kern w:val="0"/>
      <w:sz w:val="28"/>
    </w:rPr>
  </w:style>
  <w:style w:type="paragraph" w:styleId="27">
    <w:name w:val="endnote text"/>
    <w:basedOn w:val="1"/>
    <w:link w:val="81"/>
    <w:qFormat/>
    <w:uiPriority w:val="0"/>
    <w:pPr>
      <w:widowControl/>
      <w:snapToGrid w:val="0"/>
      <w:jc w:val="left"/>
    </w:pPr>
    <w:rPr>
      <w:rFonts w:ascii="Arial" w:hAnsi="Arial"/>
      <w:kern w:val="0"/>
      <w:sz w:val="20"/>
      <w:lang w:eastAsia="en-US"/>
    </w:rPr>
  </w:style>
  <w:style w:type="paragraph" w:styleId="28">
    <w:name w:val="Balloon Text"/>
    <w:basedOn w:val="1"/>
    <w:link w:val="82"/>
    <w:qFormat/>
    <w:uiPriority w:val="0"/>
    <w:rPr>
      <w:kern w:val="0"/>
      <w:sz w:val="18"/>
      <w:szCs w:val="18"/>
    </w:rPr>
  </w:style>
  <w:style w:type="paragraph" w:styleId="29">
    <w:name w:val="footer"/>
    <w:basedOn w:val="1"/>
    <w:link w:val="83"/>
    <w:qFormat/>
    <w:uiPriority w:val="99"/>
    <w:pPr>
      <w:tabs>
        <w:tab w:val="center" w:pos="4153"/>
        <w:tab w:val="right" w:pos="8306"/>
      </w:tabs>
      <w:snapToGrid w:val="0"/>
      <w:jc w:val="left"/>
    </w:pPr>
    <w:rPr>
      <w:kern w:val="0"/>
      <w:sz w:val="18"/>
      <w:szCs w:val="18"/>
    </w:rPr>
  </w:style>
  <w:style w:type="paragraph" w:styleId="30">
    <w:name w:val="header"/>
    <w:basedOn w:val="1"/>
    <w:link w:val="84"/>
    <w:qFormat/>
    <w:uiPriority w:val="99"/>
    <w:pPr>
      <w:pBdr>
        <w:bottom w:val="single" w:color="auto" w:sz="6" w:space="1"/>
      </w:pBdr>
      <w:tabs>
        <w:tab w:val="center" w:pos="4153"/>
        <w:tab w:val="right" w:pos="8306"/>
      </w:tabs>
      <w:snapToGrid w:val="0"/>
      <w:jc w:val="center"/>
    </w:pPr>
    <w:rPr>
      <w:kern w:val="0"/>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85"/>
    <w:qFormat/>
    <w:uiPriority w:val="0"/>
    <w:pPr>
      <w:widowControl/>
      <w:jc w:val="center"/>
    </w:pPr>
    <w:rPr>
      <w:kern w:val="0"/>
      <w:sz w:val="20"/>
      <w:u w:val="single"/>
      <w:lang w:eastAsia="en-US"/>
    </w:rPr>
  </w:style>
  <w:style w:type="paragraph" w:styleId="34">
    <w:name w:val="footnote text"/>
    <w:basedOn w:val="1"/>
    <w:link w:val="86"/>
    <w:qFormat/>
    <w:uiPriority w:val="0"/>
    <w:pPr>
      <w:widowControl/>
      <w:snapToGrid w:val="0"/>
      <w:jc w:val="left"/>
    </w:pPr>
    <w:rPr>
      <w:rFonts w:ascii="Arial" w:hAnsi="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87"/>
    <w:qFormat/>
    <w:uiPriority w:val="0"/>
    <w:pPr>
      <w:spacing w:line="360" w:lineRule="auto"/>
      <w:ind w:firstLine="280" w:firstLineChars="100"/>
    </w:pPr>
    <w:rPr>
      <w:rFonts w:ascii="宋体" w:hAnsi="宋体"/>
      <w:kern w:val="0"/>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88"/>
    <w:qFormat/>
    <w:uiPriority w:val="0"/>
    <w:rPr>
      <w:i/>
      <w:iCs/>
      <w:kern w:val="0"/>
      <w:sz w:val="26"/>
    </w:rPr>
  </w:style>
  <w:style w:type="paragraph" w:styleId="40">
    <w:name w:val="HTML Preformatted"/>
    <w:basedOn w:val="1"/>
    <w:link w:val="8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90"/>
    <w:qFormat/>
    <w:uiPriority w:val="0"/>
    <w:pPr>
      <w:widowControl/>
      <w:jc w:val="center"/>
    </w:pPr>
    <w:rPr>
      <w:kern w:val="0"/>
      <w:sz w:val="20"/>
      <w:u w:val="single"/>
      <w:lang w:eastAsia="en-US"/>
    </w:rPr>
  </w:style>
  <w:style w:type="paragraph" w:styleId="44">
    <w:name w:val="annotation subject"/>
    <w:basedOn w:val="16"/>
    <w:next w:val="16"/>
    <w:link w:val="91"/>
    <w:qFormat/>
    <w:uiPriority w:val="99"/>
    <w:rPr>
      <w:b/>
      <w:bCs/>
    </w:rPr>
  </w:style>
  <w:style w:type="paragraph" w:styleId="45">
    <w:name w:val="Body Text First Indent"/>
    <w:basedOn w:val="2"/>
    <w:link w:val="92"/>
    <w:unhideWhenUsed/>
    <w:qFormat/>
    <w:uiPriority w:val="1"/>
    <w:pPr>
      <w:ind w:firstLine="420" w:firstLineChars="100"/>
    </w:pPr>
    <w:rPr>
      <w:kern w:val="2"/>
      <w:sz w:val="21"/>
    </w:rPr>
  </w:style>
  <w:style w:type="table" w:styleId="47">
    <w:name w:val="Table Grid"/>
    <w:basedOn w:val="46"/>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style>
  <w:style w:type="character" w:styleId="52">
    <w:name w:val="FollowedHyperlink"/>
    <w:qFormat/>
    <w:uiPriority w:val="99"/>
    <w:rPr>
      <w:color w:val="800080"/>
      <w:u w:val="single"/>
    </w:rPr>
  </w:style>
  <w:style w:type="character" w:styleId="53">
    <w:name w:val="Emphasis"/>
    <w:qFormat/>
    <w:uiPriority w:val="20"/>
    <w:rPr>
      <w:i/>
      <w:iCs/>
    </w:rPr>
  </w:style>
  <w:style w:type="character" w:styleId="54">
    <w:name w:val="HTML Definition"/>
    <w:unhideWhenUsed/>
    <w:qFormat/>
    <w:uiPriority w:val="99"/>
  </w:style>
  <w:style w:type="character" w:styleId="55">
    <w:name w:val="HTML Variable"/>
    <w:unhideWhenUsed/>
    <w:qFormat/>
    <w:uiPriority w:val="99"/>
  </w:style>
  <w:style w:type="character" w:styleId="56">
    <w:name w:val="Hyperlink"/>
    <w:qFormat/>
    <w:uiPriority w:val="99"/>
    <w:rPr>
      <w:color w:val="0000FF"/>
      <w:u w:val="single"/>
    </w:rPr>
  </w:style>
  <w:style w:type="character" w:styleId="57">
    <w:name w:val="HTML Code"/>
    <w:unhideWhenUsed/>
    <w:qFormat/>
    <w:uiPriority w:val="99"/>
    <w:rPr>
      <w:rFonts w:ascii="Courier New" w:hAnsi="Courier New"/>
      <w:sz w:val="20"/>
    </w:rPr>
  </w:style>
  <w:style w:type="character" w:styleId="58">
    <w:name w:val="annotation reference"/>
    <w:qFormat/>
    <w:uiPriority w:val="0"/>
    <w:rPr>
      <w:sz w:val="21"/>
      <w:szCs w:val="21"/>
    </w:rPr>
  </w:style>
  <w:style w:type="character" w:styleId="59">
    <w:name w:val="HTML Cite"/>
    <w:unhideWhenUsed/>
    <w:qFormat/>
    <w:uiPriority w:val="99"/>
  </w:style>
  <w:style w:type="character" w:styleId="60">
    <w:name w:val="footnote reference"/>
    <w:qFormat/>
    <w:uiPriority w:val="0"/>
    <w:rPr>
      <w:vertAlign w:val="superscript"/>
    </w:rPr>
  </w:style>
  <w:style w:type="paragraph" w:customStyle="1" w:styleId="61">
    <w:name w:val="Default"/>
    <w:next w:val="62"/>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6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3">
    <w:name w:val="标题 1 字符"/>
    <w:link w:val="3"/>
    <w:qFormat/>
    <w:uiPriority w:val="9"/>
    <w:rPr>
      <w:rFonts w:ascii="Times New Roman" w:hAnsi="Times New Roman" w:eastAsia="宋体" w:cs="Times New Roman"/>
      <w:b/>
      <w:bCs/>
      <w:kern w:val="44"/>
      <w:sz w:val="44"/>
      <w:szCs w:val="44"/>
    </w:rPr>
  </w:style>
  <w:style w:type="character" w:customStyle="1" w:styleId="64">
    <w:name w:val="标题 2 字符"/>
    <w:link w:val="4"/>
    <w:qFormat/>
    <w:uiPriority w:val="9"/>
    <w:rPr>
      <w:rFonts w:ascii="Cambria" w:hAnsi="Cambria" w:eastAsia="宋体" w:cs="Times New Roman"/>
      <w:b/>
      <w:bCs/>
      <w:sz w:val="32"/>
      <w:szCs w:val="32"/>
    </w:rPr>
  </w:style>
  <w:style w:type="character" w:customStyle="1" w:styleId="65">
    <w:name w:val="标题 3 字符"/>
    <w:link w:val="5"/>
    <w:qFormat/>
    <w:uiPriority w:val="0"/>
    <w:rPr>
      <w:rFonts w:ascii="Times New Roman" w:hAnsi="Times New Roman" w:eastAsia="宋体" w:cs="Times New Roman"/>
      <w:b/>
      <w:bCs/>
      <w:sz w:val="32"/>
      <w:szCs w:val="32"/>
    </w:rPr>
  </w:style>
  <w:style w:type="character" w:customStyle="1" w:styleId="66">
    <w:name w:val="标题 4 字符"/>
    <w:link w:val="6"/>
    <w:qFormat/>
    <w:uiPriority w:val="0"/>
    <w:rPr>
      <w:rFonts w:ascii="宋体" w:hAnsi="宋体" w:eastAsia="宋体" w:cs="宋体"/>
      <w:b/>
      <w:bCs/>
      <w:kern w:val="0"/>
      <w:sz w:val="24"/>
      <w:szCs w:val="24"/>
    </w:rPr>
  </w:style>
  <w:style w:type="character" w:customStyle="1" w:styleId="67">
    <w:name w:val="标题 5 字符"/>
    <w:link w:val="7"/>
    <w:qFormat/>
    <w:uiPriority w:val="0"/>
    <w:rPr>
      <w:rFonts w:ascii="宋体" w:hAnsi="宋体" w:eastAsia="宋体" w:cs="宋体"/>
      <w:b/>
      <w:bCs/>
      <w:kern w:val="0"/>
      <w:sz w:val="20"/>
      <w:szCs w:val="20"/>
    </w:rPr>
  </w:style>
  <w:style w:type="character" w:customStyle="1" w:styleId="68">
    <w:name w:val="正文缩进 字符"/>
    <w:link w:val="9"/>
    <w:qFormat/>
    <w:uiPriority w:val="0"/>
    <w:rPr>
      <w:rFonts w:eastAsia="仿宋_GB2312"/>
      <w:sz w:val="30"/>
    </w:rPr>
  </w:style>
  <w:style w:type="character" w:customStyle="1" w:styleId="69">
    <w:name w:val="标题 6 字符"/>
    <w:link w:val="8"/>
    <w:qFormat/>
    <w:uiPriority w:val="0"/>
    <w:rPr>
      <w:rFonts w:ascii="Times New Roman" w:hAnsi="Arial" w:eastAsia="仿宋_GB2312" w:cs="Times New Roman"/>
      <w:kern w:val="0"/>
      <w:sz w:val="30"/>
      <w:szCs w:val="20"/>
    </w:rPr>
  </w:style>
  <w:style w:type="character" w:customStyle="1" w:styleId="70">
    <w:name w:val="标题 7 字符"/>
    <w:link w:val="10"/>
    <w:qFormat/>
    <w:uiPriority w:val="0"/>
    <w:rPr>
      <w:rFonts w:ascii="Times New Roman" w:hAnsi="Times New Roman" w:eastAsia="仿宋_GB2312" w:cs="Times New Roman"/>
      <w:kern w:val="0"/>
      <w:sz w:val="30"/>
      <w:szCs w:val="20"/>
    </w:rPr>
  </w:style>
  <w:style w:type="character" w:customStyle="1" w:styleId="71">
    <w:name w:val="标题 8 字符"/>
    <w:link w:val="11"/>
    <w:qFormat/>
    <w:uiPriority w:val="0"/>
    <w:rPr>
      <w:rFonts w:ascii="Times New Roman" w:hAnsi="Arial" w:eastAsia="仿宋_GB2312" w:cs="Times New Roman"/>
      <w:kern w:val="0"/>
      <w:sz w:val="30"/>
      <w:szCs w:val="20"/>
    </w:rPr>
  </w:style>
  <w:style w:type="character" w:customStyle="1" w:styleId="72">
    <w:name w:val="标题 9 字符"/>
    <w:link w:val="12"/>
    <w:qFormat/>
    <w:uiPriority w:val="0"/>
    <w:rPr>
      <w:rFonts w:ascii="Times New Roman" w:hAnsi="Times New Roman" w:eastAsia="仿宋_GB2312" w:cs="Times New Roman"/>
      <w:kern w:val="0"/>
      <w:sz w:val="30"/>
      <w:szCs w:val="20"/>
    </w:rPr>
  </w:style>
  <w:style w:type="character" w:customStyle="1" w:styleId="73">
    <w:name w:val="文档结构图 字符"/>
    <w:link w:val="15"/>
    <w:qFormat/>
    <w:uiPriority w:val="0"/>
    <w:rPr>
      <w:rFonts w:ascii="Times New Roman" w:hAnsi="Times New Roman" w:eastAsia="宋体" w:cs="Times New Roman"/>
      <w:szCs w:val="24"/>
      <w:shd w:val="clear" w:color="auto" w:fill="000080"/>
    </w:rPr>
  </w:style>
  <w:style w:type="character" w:customStyle="1" w:styleId="74">
    <w:name w:val="批注文字 字符"/>
    <w:link w:val="16"/>
    <w:qFormat/>
    <w:uiPriority w:val="0"/>
    <w:rPr>
      <w:rFonts w:ascii="Times New Roman" w:hAnsi="Times New Roman" w:eastAsia="宋体" w:cs="Times New Roman"/>
      <w:szCs w:val="24"/>
    </w:rPr>
  </w:style>
  <w:style w:type="character" w:customStyle="1" w:styleId="75">
    <w:name w:val="正文文本 3 字符"/>
    <w:link w:val="17"/>
    <w:qFormat/>
    <w:uiPriority w:val="0"/>
    <w:rPr>
      <w:rFonts w:ascii="Times New Roman" w:hAnsi="Times New Roman" w:eastAsia="宋体" w:cs="Times New Roman"/>
      <w:sz w:val="16"/>
      <w:szCs w:val="16"/>
    </w:rPr>
  </w:style>
  <w:style w:type="character" w:customStyle="1" w:styleId="76">
    <w:name w:val="正文文本 字符"/>
    <w:link w:val="2"/>
    <w:qFormat/>
    <w:uiPriority w:val="0"/>
    <w:rPr>
      <w:rFonts w:ascii="Times New Roman" w:hAnsi="Times New Roman" w:eastAsia="宋体" w:cs="Times New Roman"/>
      <w:szCs w:val="24"/>
    </w:rPr>
  </w:style>
  <w:style w:type="character" w:customStyle="1" w:styleId="77">
    <w:name w:val="正文文本缩进 字符"/>
    <w:link w:val="18"/>
    <w:qFormat/>
    <w:uiPriority w:val="0"/>
    <w:rPr>
      <w:rFonts w:ascii="Times New Roman" w:hAnsi="Times New Roman" w:eastAsia="宋体" w:cs="Times New Roman"/>
      <w:szCs w:val="24"/>
    </w:rPr>
  </w:style>
  <w:style w:type="character" w:customStyle="1" w:styleId="78">
    <w:name w:val="纯文本 字符"/>
    <w:link w:val="23"/>
    <w:qFormat/>
    <w:uiPriority w:val="0"/>
    <w:rPr>
      <w:rFonts w:ascii="宋体" w:hAnsi="Courier New" w:eastAsia="宋体" w:cs="Courier New"/>
      <w:szCs w:val="21"/>
    </w:rPr>
  </w:style>
  <w:style w:type="character" w:customStyle="1" w:styleId="79">
    <w:name w:val="日期 字符"/>
    <w:link w:val="25"/>
    <w:qFormat/>
    <w:uiPriority w:val="99"/>
    <w:rPr>
      <w:rFonts w:ascii="Times New Roman" w:hAnsi="Times New Roman" w:eastAsia="宋体" w:cs="Times New Roman"/>
      <w:szCs w:val="24"/>
    </w:rPr>
  </w:style>
  <w:style w:type="character" w:customStyle="1" w:styleId="80">
    <w:name w:val="正文文本缩进 2 字符"/>
    <w:link w:val="26"/>
    <w:qFormat/>
    <w:uiPriority w:val="0"/>
    <w:rPr>
      <w:rFonts w:ascii="Times New Roman" w:hAnsi="Times New Roman" w:eastAsia="宋体" w:cs="Times New Roman"/>
      <w:kern w:val="0"/>
      <w:sz w:val="28"/>
      <w:szCs w:val="24"/>
    </w:rPr>
  </w:style>
  <w:style w:type="character" w:customStyle="1" w:styleId="81">
    <w:name w:val="尾注文本 字符"/>
    <w:link w:val="27"/>
    <w:qFormat/>
    <w:uiPriority w:val="0"/>
    <w:rPr>
      <w:rFonts w:ascii="Arial" w:hAnsi="Arial" w:eastAsia="宋体" w:cs="Arial"/>
      <w:kern w:val="0"/>
      <w:sz w:val="20"/>
      <w:szCs w:val="24"/>
      <w:lang w:eastAsia="en-US"/>
    </w:rPr>
  </w:style>
  <w:style w:type="character" w:customStyle="1" w:styleId="82">
    <w:name w:val="批注框文本 字符"/>
    <w:link w:val="28"/>
    <w:qFormat/>
    <w:uiPriority w:val="0"/>
    <w:rPr>
      <w:rFonts w:ascii="Times New Roman" w:hAnsi="Times New Roman" w:eastAsia="宋体" w:cs="Times New Roman"/>
      <w:sz w:val="18"/>
      <w:szCs w:val="18"/>
    </w:rPr>
  </w:style>
  <w:style w:type="character" w:customStyle="1" w:styleId="83">
    <w:name w:val="页脚 字符"/>
    <w:link w:val="29"/>
    <w:qFormat/>
    <w:uiPriority w:val="99"/>
    <w:rPr>
      <w:rFonts w:ascii="Times New Roman" w:hAnsi="Times New Roman" w:eastAsia="宋体" w:cs="Times New Roman"/>
      <w:sz w:val="18"/>
      <w:szCs w:val="18"/>
    </w:rPr>
  </w:style>
  <w:style w:type="character" w:customStyle="1" w:styleId="84">
    <w:name w:val="页眉 字符"/>
    <w:link w:val="30"/>
    <w:qFormat/>
    <w:uiPriority w:val="99"/>
    <w:rPr>
      <w:rFonts w:ascii="Times New Roman" w:hAnsi="Times New Roman" w:eastAsia="宋体" w:cs="Times New Roman"/>
      <w:sz w:val="18"/>
      <w:szCs w:val="18"/>
    </w:rPr>
  </w:style>
  <w:style w:type="character" w:customStyle="1" w:styleId="85">
    <w:name w:val="副标题 字符"/>
    <w:link w:val="33"/>
    <w:qFormat/>
    <w:uiPriority w:val="11"/>
    <w:rPr>
      <w:rFonts w:ascii="Times New Roman" w:hAnsi="Times New Roman" w:eastAsia="宋体" w:cs="Times New Roman"/>
      <w:kern w:val="0"/>
      <w:sz w:val="20"/>
      <w:szCs w:val="24"/>
      <w:u w:val="single"/>
      <w:lang w:eastAsia="en-US"/>
    </w:rPr>
  </w:style>
  <w:style w:type="character" w:customStyle="1" w:styleId="86">
    <w:name w:val="脚注文本 字符"/>
    <w:link w:val="34"/>
    <w:qFormat/>
    <w:uiPriority w:val="0"/>
    <w:rPr>
      <w:rFonts w:ascii="Arial" w:hAnsi="Arial" w:eastAsia="宋体" w:cs="Arial"/>
      <w:kern w:val="0"/>
      <w:sz w:val="18"/>
      <w:szCs w:val="18"/>
      <w:lang w:eastAsia="en-US"/>
    </w:rPr>
  </w:style>
  <w:style w:type="character" w:customStyle="1" w:styleId="87">
    <w:name w:val="正文文本缩进 3 字符"/>
    <w:link w:val="36"/>
    <w:qFormat/>
    <w:uiPriority w:val="0"/>
    <w:rPr>
      <w:rFonts w:ascii="宋体" w:hAnsi="宋体" w:eastAsia="宋体" w:cs="Times New Roman"/>
      <w:sz w:val="28"/>
      <w:szCs w:val="28"/>
    </w:rPr>
  </w:style>
  <w:style w:type="character" w:customStyle="1" w:styleId="88">
    <w:name w:val="正文文本 2 字符"/>
    <w:link w:val="39"/>
    <w:qFormat/>
    <w:uiPriority w:val="0"/>
    <w:rPr>
      <w:rFonts w:ascii="Times New Roman" w:hAnsi="Times New Roman" w:eastAsia="宋体" w:cs="Times New Roman"/>
      <w:i/>
      <w:iCs/>
      <w:sz w:val="26"/>
      <w:szCs w:val="24"/>
    </w:rPr>
  </w:style>
  <w:style w:type="character" w:customStyle="1" w:styleId="89">
    <w:name w:val="HTML 预设格式 字符"/>
    <w:link w:val="40"/>
    <w:qFormat/>
    <w:uiPriority w:val="0"/>
    <w:rPr>
      <w:rFonts w:ascii="宋体" w:hAnsi="宋体" w:eastAsia="宋体" w:cs="宋体"/>
      <w:color w:val="000000"/>
      <w:kern w:val="0"/>
      <w:sz w:val="24"/>
      <w:szCs w:val="24"/>
    </w:rPr>
  </w:style>
  <w:style w:type="character" w:customStyle="1" w:styleId="90">
    <w:name w:val="标题 字符"/>
    <w:link w:val="43"/>
    <w:qFormat/>
    <w:uiPriority w:val="0"/>
    <w:rPr>
      <w:rFonts w:ascii="Times New Roman" w:hAnsi="Times New Roman" w:eastAsia="宋体" w:cs="Times New Roman"/>
      <w:kern w:val="0"/>
      <w:sz w:val="20"/>
      <w:szCs w:val="24"/>
      <w:u w:val="single"/>
      <w:lang w:eastAsia="en-US"/>
    </w:rPr>
  </w:style>
  <w:style w:type="character" w:customStyle="1" w:styleId="91">
    <w:name w:val="批注主题 字符"/>
    <w:link w:val="44"/>
    <w:qFormat/>
    <w:uiPriority w:val="99"/>
    <w:rPr>
      <w:rFonts w:ascii="Times New Roman" w:hAnsi="Times New Roman" w:eastAsia="宋体" w:cs="Times New Roman"/>
      <w:b/>
      <w:bCs/>
      <w:szCs w:val="24"/>
    </w:rPr>
  </w:style>
  <w:style w:type="character" w:customStyle="1" w:styleId="92">
    <w:name w:val="正文文本首行缩进 字符"/>
    <w:link w:val="45"/>
    <w:qFormat/>
    <w:uiPriority w:val="1"/>
    <w:rPr>
      <w:rFonts w:ascii="Times New Roman" w:hAnsi="Times New Roman" w:eastAsia="宋体" w:cs="Times New Roman"/>
      <w:kern w:val="2"/>
      <w:sz w:val="21"/>
      <w:szCs w:val="24"/>
    </w:rPr>
  </w:style>
  <w:style w:type="character" w:customStyle="1" w:styleId="93">
    <w:name w:val="未处理的提及4"/>
    <w:unhideWhenUsed/>
    <w:qFormat/>
    <w:uiPriority w:val="99"/>
    <w:rPr>
      <w:color w:val="605E5C"/>
      <w:shd w:val="clear" w:color="auto" w:fill="E1DFDD"/>
    </w:rPr>
  </w:style>
  <w:style w:type="character" w:customStyle="1" w:styleId="94">
    <w:name w:val="cldh_img"/>
    <w:qFormat/>
    <w:uiPriority w:val="0"/>
  </w:style>
  <w:style w:type="character" w:customStyle="1" w:styleId="95">
    <w:name w:val="datetime4"/>
    <w:qFormat/>
    <w:uiPriority w:val="0"/>
    <w:rPr>
      <w:color w:val="808080"/>
      <w:sz w:val="21"/>
      <w:szCs w:val="21"/>
    </w:rPr>
  </w:style>
  <w:style w:type="character" w:customStyle="1" w:styleId="96">
    <w:name w:val="datetime3"/>
    <w:qFormat/>
    <w:uiPriority w:val="0"/>
  </w:style>
  <w:style w:type="character" w:customStyle="1" w:styleId="97">
    <w:name w:val="datetime2"/>
    <w:qFormat/>
    <w:uiPriority w:val="0"/>
  </w:style>
  <w:style w:type="character" w:customStyle="1" w:styleId="98">
    <w:name w:val="datetime1"/>
    <w:qFormat/>
    <w:uiPriority w:val="0"/>
  </w:style>
  <w:style w:type="character" w:customStyle="1" w:styleId="99">
    <w:name w:val="占位符文本1"/>
    <w:semiHidden/>
    <w:qFormat/>
    <w:uiPriority w:val="99"/>
    <w:rPr>
      <w:color w:val="808080"/>
    </w:rPr>
  </w:style>
  <w:style w:type="character" w:customStyle="1" w:styleId="100">
    <w:name w:val="未处理的提及2"/>
    <w:unhideWhenUsed/>
    <w:qFormat/>
    <w:uiPriority w:val="99"/>
    <w:rPr>
      <w:color w:val="605E5C"/>
      <w:shd w:val="clear" w:color="auto" w:fill="E1DFDD"/>
    </w:rPr>
  </w:style>
  <w:style w:type="character" w:customStyle="1" w:styleId="101">
    <w:name w:val="normaltext1"/>
    <w:qFormat/>
    <w:uiPriority w:val="0"/>
    <w:rPr>
      <w:rFonts w:hint="default" w:ascii="ˎ̥" w:hAnsi="ˎ̥"/>
      <w:sz w:val="9"/>
      <w:szCs w:val="9"/>
    </w:rPr>
  </w:style>
  <w:style w:type="character" w:customStyle="1" w:styleId="102">
    <w:name w:val="批注主题 Char2"/>
    <w:qFormat/>
    <w:uiPriority w:val="99"/>
    <w:rPr>
      <w:b/>
      <w:bCs/>
      <w:kern w:val="2"/>
      <w:sz w:val="21"/>
      <w:szCs w:val="24"/>
    </w:rPr>
  </w:style>
  <w:style w:type="character" w:customStyle="1" w:styleId="103">
    <w:name w:val="批注文字 Char Char"/>
    <w:qFormat/>
    <w:uiPriority w:val="0"/>
    <w:rPr>
      <w:rFonts w:ascii="宋体" w:hAnsi="Times New Roman" w:eastAsia="宋体" w:cs="Times New Roman"/>
      <w:sz w:val="28"/>
      <w:szCs w:val="20"/>
    </w:rPr>
  </w:style>
  <w:style w:type="character" w:customStyle="1" w:styleId="104">
    <w:name w:val="Char Char23"/>
    <w:qFormat/>
    <w:uiPriority w:val="0"/>
    <w:rPr>
      <w:rFonts w:ascii="Cambria" w:hAnsi="Cambria" w:eastAsia="宋体" w:cs="Times New Roman"/>
      <w:b/>
      <w:bCs/>
      <w:kern w:val="2"/>
      <w:sz w:val="32"/>
      <w:szCs w:val="32"/>
    </w:rPr>
  </w:style>
  <w:style w:type="character" w:customStyle="1" w:styleId="105">
    <w:name w:val="标题 4 Char1"/>
    <w:qFormat/>
    <w:uiPriority w:val="0"/>
    <w:rPr>
      <w:rFonts w:ascii="宋体" w:hAnsi="宋体" w:eastAsia="宋体" w:cs="宋体"/>
      <w:b/>
      <w:bCs/>
      <w:sz w:val="24"/>
      <w:szCs w:val="24"/>
    </w:rPr>
  </w:style>
  <w:style w:type="character" w:customStyle="1" w:styleId="106">
    <w:name w:val="标题 8 Char1"/>
    <w:qFormat/>
    <w:uiPriority w:val="0"/>
    <w:rPr>
      <w:rFonts w:ascii="Times New Roman" w:hAnsi="Arial" w:eastAsia="仿宋_GB2312" w:cs="Times New Roman"/>
      <w:sz w:val="30"/>
      <w:szCs w:val="20"/>
    </w:rPr>
  </w:style>
  <w:style w:type="character" w:customStyle="1" w:styleId="107">
    <w:name w:val="Char Char13"/>
    <w:qFormat/>
    <w:uiPriority w:val="0"/>
    <w:rPr>
      <w:kern w:val="2"/>
      <w:sz w:val="18"/>
      <w:szCs w:val="18"/>
    </w:rPr>
  </w:style>
  <w:style w:type="character" w:customStyle="1" w:styleId="108">
    <w:name w:val="不明显强调1"/>
    <w:qFormat/>
    <w:uiPriority w:val="0"/>
    <w:rPr>
      <w:i/>
      <w:iCs/>
      <w:color w:val="808080"/>
    </w:rPr>
  </w:style>
  <w:style w:type="character" w:customStyle="1" w:styleId="109">
    <w:name w:val="引用 Char2"/>
    <w:qFormat/>
    <w:uiPriority w:val="99"/>
    <w:rPr>
      <w:i/>
      <w:iCs/>
      <w:color w:val="000000"/>
      <w:kern w:val="2"/>
      <w:sz w:val="21"/>
      <w:szCs w:val="24"/>
    </w:rPr>
  </w:style>
  <w:style w:type="character" w:customStyle="1" w:styleId="110">
    <w:name w:val="明显引用 Char3"/>
    <w:qFormat/>
    <w:uiPriority w:val="30"/>
    <w:rPr>
      <w:rFonts w:ascii="Calibri" w:hAnsi="Calibri" w:eastAsia="宋体" w:cs="Times New Roman"/>
      <w:b/>
      <w:bCs/>
      <w:i/>
      <w:iCs/>
      <w:color w:val="4F81BD"/>
      <w:szCs w:val="24"/>
    </w:rPr>
  </w:style>
  <w:style w:type="character" w:customStyle="1" w:styleId="111">
    <w:name w:val="subhead1"/>
    <w:qFormat/>
    <w:uiPriority w:val="0"/>
    <w:rPr>
      <w:rFonts w:hint="default" w:ascii="Tahoma" w:hAnsi="Tahoma" w:cs="Tahoma"/>
      <w:color w:val="000000"/>
      <w:sz w:val="18"/>
      <w:szCs w:val="18"/>
      <w:u w:val="none"/>
      <w:shd w:val="clear" w:color="auto" w:fill="FFFFFF"/>
    </w:rPr>
  </w:style>
  <w:style w:type="character" w:customStyle="1" w:styleId="112">
    <w:name w:val="intel3"/>
    <w:qFormat/>
    <w:uiPriority w:val="0"/>
  </w:style>
  <w:style w:type="character" w:customStyle="1" w:styleId="113">
    <w:name w:val="批注主题 Char1"/>
    <w:qFormat/>
    <w:uiPriority w:val="0"/>
    <w:rPr>
      <w:b/>
      <w:bCs/>
      <w:kern w:val="2"/>
      <w:sz w:val="21"/>
      <w:szCs w:val="22"/>
    </w:rPr>
  </w:style>
  <w:style w:type="character" w:customStyle="1" w:styleId="114">
    <w:name w:val="Char Char21"/>
    <w:qFormat/>
    <w:uiPriority w:val="0"/>
    <w:rPr>
      <w:rFonts w:ascii="宋体" w:hAnsi="宋体" w:cs="宋体"/>
      <w:b/>
      <w:bCs/>
      <w:sz w:val="24"/>
      <w:szCs w:val="24"/>
    </w:rPr>
  </w:style>
  <w:style w:type="character" w:customStyle="1" w:styleId="115">
    <w:name w:val="Char Char9"/>
    <w:qFormat/>
    <w:locked/>
    <w:uiPriority w:val="0"/>
    <w:rPr>
      <w:rFonts w:ascii="仿宋_GB2312" w:eastAsia="仿宋_GB2312" w:cs="MingLiU"/>
      <w:b/>
      <w:sz w:val="24"/>
      <w:szCs w:val="28"/>
      <w:lang w:val="en-US" w:eastAsia="zh-CN" w:bidi="ar-SA"/>
    </w:rPr>
  </w:style>
  <w:style w:type="character" w:customStyle="1" w:styleId="116">
    <w:name w:val="页脚 Char1"/>
    <w:semiHidden/>
    <w:qFormat/>
    <w:uiPriority w:val="99"/>
    <w:rPr>
      <w:kern w:val="2"/>
      <w:sz w:val="18"/>
      <w:szCs w:val="18"/>
    </w:rPr>
  </w:style>
  <w:style w:type="character" w:customStyle="1" w:styleId="117">
    <w:name w:val="标题 5 Char"/>
    <w:qFormat/>
    <w:uiPriority w:val="0"/>
    <w:rPr>
      <w:rFonts w:ascii="Calibri" w:hAnsi="Calibri" w:eastAsia="宋体" w:cs="Times New Roman"/>
      <w:b/>
      <w:bCs/>
      <w:sz w:val="28"/>
      <w:szCs w:val="28"/>
    </w:rPr>
  </w:style>
  <w:style w:type="character" w:customStyle="1" w:styleId="118">
    <w:name w:val="cldh_img2"/>
    <w:qFormat/>
    <w:uiPriority w:val="0"/>
  </w:style>
  <w:style w:type="character" w:customStyle="1" w:styleId="119">
    <w:name w:val="标题 3 Char1"/>
    <w:qFormat/>
    <w:uiPriority w:val="0"/>
    <w:rPr>
      <w:rFonts w:ascii="Times New Roman" w:hAnsi="Times New Roman" w:eastAsia="宋体" w:cs="Times New Roman"/>
      <w:b/>
      <w:bCs/>
      <w:kern w:val="2"/>
      <w:sz w:val="32"/>
      <w:szCs w:val="32"/>
    </w:rPr>
  </w:style>
  <w:style w:type="character" w:customStyle="1" w:styleId="120">
    <w:name w:val="Char Char17"/>
    <w:qFormat/>
    <w:uiPriority w:val="0"/>
    <w:rPr>
      <w:kern w:val="2"/>
      <w:sz w:val="26"/>
      <w:szCs w:val="24"/>
    </w:rPr>
  </w:style>
  <w:style w:type="character" w:customStyle="1" w:styleId="121">
    <w:name w:val="批注主题 Char3"/>
    <w:semiHidden/>
    <w:qFormat/>
    <w:uiPriority w:val="99"/>
    <w:rPr>
      <w:rFonts w:ascii="Calibri" w:hAnsi="Calibri" w:eastAsia="宋体" w:cs="Times New Roman"/>
      <w:b/>
      <w:bCs/>
      <w:szCs w:val="24"/>
    </w:rPr>
  </w:style>
  <w:style w:type="character" w:customStyle="1" w:styleId="122">
    <w:name w:val="标题 2 Char1"/>
    <w:qFormat/>
    <w:uiPriority w:val="0"/>
    <w:rPr>
      <w:rFonts w:ascii="Cambria" w:hAnsi="Cambria" w:eastAsia="宋体" w:cs="Times New Roman"/>
      <w:b/>
      <w:bCs/>
      <w:kern w:val="2"/>
      <w:sz w:val="32"/>
      <w:szCs w:val="32"/>
    </w:rPr>
  </w:style>
  <w:style w:type="character" w:customStyle="1" w:styleId="123">
    <w:name w:val="Char Char32"/>
    <w:qFormat/>
    <w:uiPriority w:val="0"/>
    <w:rPr>
      <w:rFonts w:ascii="仿宋_GB2312" w:eastAsia="仿宋_GB2312" w:cs="MingLiU"/>
      <w:b/>
      <w:spacing w:val="1"/>
      <w:w w:val="99"/>
      <w:sz w:val="28"/>
      <w:szCs w:val="32"/>
    </w:rPr>
  </w:style>
  <w:style w:type="character" w:customStyle="1" w:styleId="124">
    <w:name w:val="正文文本 2 Char1"/>
    <w:semiHidden/>
    <w:qFormat/>
    <w:uiPriority w:val="99"/>
    <w:rPr>
      <w:rFonts w:ascii="Calibri" w:hAnsi="Calibri" w:eastAsia="宋体" w:cs="Times New Roman"/>
      <w:szCs w:val="24"/>
    </w:rPr>
  </w:style>
  <w:style w:type="character" w:customStyle="1" w:styleId="125">
    <w:name w:val="批注主题 Char"/>
    <w:qFormat/>
    <w:uiPriority w:val="0"/>
    <w:rPr>
      <w:rFonts w:ascii="宋体" w:hAnsi="宋体" w:eastAsia="宋体"/>
      <w:kern w:val="2"/>
      <w:sz w:val="24"/>
      <w:szCs w:val="28"/>
      <w:lang w:val="en-US" w:eastAsia="zh-CN" w:bidi="ar-SA"/>
    </w:rPr>
  </w:style>
  <w:style w:type="character" w:customStyle="1" w:styleId="126">
    <w:name w:val="color_red1"/>
    <w:qFormat/>
    <w:uiPriority w:val="0"/>
    <w:rPr>
      <w:color w:val="FA0004"/>
    </w:rPr>
  </w:style>
  <w:style w:type="character" w:customStyle="1" w:styleId="127">
    <w:name w:val="0d1471"/>
    <w:qFormat/>
    <w:uiPriority w:val="0"/>
    <w:rPr>
      <w:color w:val="000000"/>
      <w:sz w:val="11"/>
      <w:szCs w:val="11"/>
      <w:u w:val="none"/>
    </w:rPr>
  </w:style>
  <w:style w:type="character" w:customStyle="1" w:styleId="128">
    <w:name w:val="标题 Char2"/>
    <w:qFormat/>
    <w:uiPriority w:val="10"/>
    <w:rPr>
      <w:rFonts w:ascii="Cambria" w:hAnsi="Cambria" w:eastAsia="宋体" w:cs="Times New Roman"/>
      <w:b/>
      <w:bCs/>
      <w:sz w:val="32"/>
      <w:szCs w:val="32"/>
    </w:rPr>
  </w:style>
  <w:style w:type="character" w:customStyle="1" w:styleId="129">
    <w:name w:val="标题 6 Char1"/>
    <w:qFormat/>
    <w:uiPriority w:val="0"/>
    <w:rPr>
      <w:rFonts w:ascii="Times New Roman" w:hAnsi="Arial" w:eastAsia="仿宋_GB2312" w:cs="Times New Roman"/>
      <w:sz w:val="30"/>
      <w:szCs w:val="20"/>
    </w:rPr>
  </w:style>
  <w:style w:type="character" w:customStyle="1" w:styleId="130">
    <w:name w:val="ITTHEADER1 Char"/>
    <w:qFormat/>
    <w:uiPriority w:val="0"/>
    <w:rPr>
      <w:rFonts w:eastAsia="黑体"/>
      <w:kern w:val="2"/>
      <w:sz w:val="44"/>
      <w:szCs w:val="44"/>
      <w:lang w:val="en-US" w:eastAsia="zh-CN" w:bidi="ar-SA"/>
    </w:rPr>
  </w:style>
  <w:style w:type="character" w:customStyle="1" w:styleId="131">
    <w:name w:val="Char Char34"/>
    <w:qFormat/>
    <w:uiPriority w:val="0"/>
    <w:rPr>
      <w:rFonts w:ascii="仿宋_GB2312" w:eastAsia="仿宋_GB2312" w:cs="MingLiU"/>
      <w:b/>
      <w:spacing w:val="1"/>
      <w:w w:val="99"/>
      <w:sz w:val="28"/>
      <w:szCs w:val="32"/>
    </w:rPr>
  </w:style>
  <w:style w:type="character" w:customStyle="1" w:styleId="132">
    <w:name w:val="标题 1 Char1"/>
    <w:qFormat/>
    <w:uiPriority w:val="0"/>
    <w:rPr>
      <w:rFonts w:ascii="Times New Roman" w:hAnsi="Times New Roman" w:eastAsia="宋体" w:cs="Times New Roman"/>
      <w:b/>
      <w:bCs/>
      <w:kern w:val="44"/>
      <w:sz w:val="44"/>
      <w:szCs w:val="44"/>
    </w:rPr>
  </w:style>
  <w:style w:type="character" w:customStyle="1" w:styleId="133">
    <w:name w:val="正文文本 字符1"/>
    <w:qFormat/>
    <w:uiPriority w:val="0"/>
    <w:rPr>
      <w:rFonts w:eastAsia="宋体"/>
      <w:kern w:val="2"/>
      <w:sz w:val="21"/>
      <w:szCs w:val="24"/>
      <w:lang w:val="en-US" w:eastAsia="zh-CN" w:bidi="ar-SA"/>
    </w:rPr>
  </w:style>
  <w:style w:type="character" w:customStyle="1" w:styleId="134">
    <w:name w:val="日期 Char"/>
    <w:qFormat/>
    <w:uiPriority w:val="0"/>
    <w:rPr>
      <w:rFonts w:eastAsia="宋体"/>
      <w:szCs w:val="24"/>
    </w:rPr>
  </w:style>
  <w:style w:type="character" w:customStyle="1" w:styleId="135">
    <w:name w:val="页眉 Char"/>
    <w:qFormat/>
    <w:uiPriority w:val="99"/>
    <w:rPr>
      <w:sz w:val="18"/>
      <w:szCs w:val="18"/>
    </w:rPr>
  </w:style>
  <w:style w:type="character" w:customStyle="1" w:styleId="136">
    <w:name w:val="标题 7 Char1"/>
    <w:qFormat/>
    <w:uiPriority w:val="0"/>
    <w:rPr>
      <w:rFonts w:ascii="Times New Roman" w:hAnsi="Times New Roman" w:eastAsia="仿宋_GB2312" w:cs="Times New Roman"/>
      <w:sz w:val="30"/>
      <w:szCs w:val="20"/>
    </w:rPr>
  </w:style>
  <w:style w:type="character" w:customStyle="1" w:styleId="137">
    <w:name w:val="引用 Char3"/>
    <w:qFormat/>
    <w:uiPriority w:val="29"/>
    <w:rPr>
      <w:rFonts w:ascii="Calibri" w:hAnsi="Calibri" w:eastAsia="宋体" w:cs="Times New Roman"/>
      <w:i/>
      <w:iCs/>
      <w:color w:val="000000"/>
      <w:szCs w:val="24"/>
    </w:rPr>
  </w:style>
  <w:style w:type="character" w:customStyle="1" w:styleId="138">
    <w:name w:val="HTML 预设格式 Char1"/>
    <w:qFormat/>
    <w:uiPriority w:val="0"/>
    <w:rPr>
      <w:rFonts w:ascii="宋体" w:hAnsi="宋体" w:cs="宋体"/>
      <w:color w:val="000000"/>
      <w:sz w:val="24"/>
      <w:szCs w:val="24"/>
    </w:rPr>
  </w:style>
  <w:style w:type="character" w:customStyle="1" w:styleId="139">
    <w:name w:val="正文文本缩进 Char"/>
    <w:qFormat/>
    <w:uiPriority w:val="0"/>
    <w:rPr>
      <w:rFonts w:ascii="黑体" w:hAnsi="宋体" w:eastAsia="黑体"/>
      <w:color w:val="000000"/>
      <w:sz w:val="28"/>
      <w:szCs w:val="32"/>
    </w:rPr>
  </w:style>
  <w:style w:type="character" w:customStyle="1" w:styleId="140">
    <w:name w:val="unnamed1"/>
    <w:qFormat/>
    <w:uiPriority w:val="0"/>
  </w:style>
  <w:style w:type="character" w:customStyle="1" w:styleId="141">
    <w:name w:val="脚注文本 Char1"/>
    <w:qFormat/>
    <w:uiPriority w:val="0"/>
    <w:rPr>
      <w:rFonts w:ascii="Arial" w:hAnsi="Arial" w:cs="Arial"/>
      <w:sz w:val="18"/>
      <w:szCs w:val="18"/>
      <w:lang w:eastAsia="en-US"/>
    </w:rPr>
  </w:style>
  <w:style w:type="character" w:customStyle="1" w:styleId="142">
    <w:name w:val="标题 9 Char1"/>
    <w:qFormat/>
    <w:uiPriority w:val="0"/>
    <w:rPr>
      <w:rFonts w:ascii="Times New Roman" w:hAnsi="Times New Roman" w:eastAsia="仿宋_GB2312" w:cs="Times New Roman"/>
      <w:sz w:val="30"/>
      <w:szCs w:val="20"/>
    </w:rPr>
  </w:style>
  <w:style w:type="character" w:customStyle="1" w:styleId="143">
    <w:name w:val="尾注文本 Char"/>
    <w:qFormat/>
    <w:uiPriority w:val="0"/>
    <w:rPr>
      <w:kern w:val="2"/>
      <w:sz w:val="21"/>
      <w:szCs w:val="24"/>
    </w:rPr>
  </w:style>
  <w:style w:type="character" w:customStyle="1" w:styleId="144">
    <w:name w:val="Char Char24"/>
    <w:qFormat/>
    <w:uiPriority w:val="0"/>
    <w:rPr>
      <w:b/>
      <w:bCs/>
      <w:kern w:val="44"/>
      <w:sz w:val="44"/>
      <w:szCs w:val="44"/>
    </w:rPr>
  </w:style>
  <w:style w:type="character" w:customStyle="1" w:styleId="145">
    <w:name w:val="正文文本缩进 3 Char1"/>
    <w:qFormat/>
    <w:uiPriority w:val="0"/>
    <w:rPr>
      <w:rFonts w:ascii="宋体" w:hAnsi="宋体"/>
      <w:kern w:val="2"/>
      <w:sz w:val="28"/>
      <w:szCs w:val="28"/>
    </w:rPr>
  </w:style>
  <w:style w:type="character" w:customStyle="1" w:styleId="146">
    <w:name w:val="style21"/>
    <w:qFormat/>
    <w:uiPriority w:val="0"/>
    <w:rPr>
      <w:b/>
      <w:bCs/>
      <w:sz w:val="28"/>
      <w:szCs w:val="28"/>
    </w:rPr>
  </w:style>
  <w:style w:type="character" w:customStyle="1" w:styleId="147">
    <w:name w:val="正文文本 Char2"/>
    <w:qFormat/>
    <w:uiPriority w:val="99"/>
    <w:rPr>
      <w:kern w:val="2"/>
      <w:sz w:val="21"/>
      <w:szCs w:val="24"/>
    </w:rPr>
  </w:style>
  <w:style w:type="character" w:customStyle="1" w:styleId="148">
    <w:name w:val="手改 Char Char"/>
    <w:qFormat/>
    <w:uiPriority w:val="0"/>
    <w:rPr>
      <w:kern w:val="2"/>
      <w:sz w:val="21"/>
      <w:szCs w:val="24"/>
    </w:rPr>
  </w:style>
  <w:style w:type="character" w:customStyle="1" w:styleId="149">
    <w:name w:val="Char Char11"/>
    <w:qFormat/>
    <w:locked/>
    <w:uiPriority w:val="0"/>
    <w:rPr>
      <w:rFonts w:eastAsia="黑体"/>
      <w:kern w:val="2"/>
      <w:sz w:val="44"/>
      <w:szCs w:val="44"/>
      <w:lang w:val="en-US" w:eastAsia="zh-CN" w:bidi="ar-SA"/>
    </w:rPr>
  </w:style>
  <w:style w:type="character" w:customStyle="1" w:styleId="150">
    <w:name w:val="标题 2 Char"/>
    <w:qFormat/>
    <w:uiPriority w:val="9"/>
    <w:rPr>
      <w:rFonts w:ascii="仿宋_GB2312" w:hAnsi="Calibri" w:eastAsia="仿宋_GB2312" w:cs="Times New Roman"/>
      <w:b/>
      <w:spacing w:val="1"/>
      <w:w w:val="99"/>
      <w:kern w:val="0"/>
      <w:sz w:val="28"/>
      <w:szCs w:val="32"/>
    </w:rPr>
  </w:style>
  <w:style w:type="character" w:customStyle="1" w:styleId="151">
    <w:name w:val="Char Char33"/>
    <w:qFormat/>
    <w:uiPriority w:val="0"/>
    <w:rPr>
      <w:rFonts w:ascii="仿宋_GB2312" w:eastAsia="仿宋_GB2312" w:cs="MingLiU"/>
      <w:b/>
      <w:sz w:val="24"/>
      <w:szCs w:val="28"/>
    </w:rPr>
  </w:style>
  <w:style w:type="character" w:customStyle="1" w:styleId="152">
    <w:name w:val="批注框文本 Char3"/>
    <w:semiHidden/>
    <w:qFormat/>
    <w:uiPriority w:val="99"/>
    <w:rPr>
      <w:rFonts w:ascii="Calibri" w:hAnsi="Calibri" w:eastAsia="宋体" w:cs="Times New Roman"/>
      <w:sz w:val="18"/>
      <w:szCs w:val="18"/>
    </w:rPr>
  </w:style>
  <w:style w:type="character" w:customStyle="1" w:styleId="153">
    <w:name w:val="日期 Char3"/>
    <w:semiHidden/>
    <w:qFormat/>
    <w:uiPriority w:val="99"/>
    <w:rPr>
      <w:rFonts w:ascii="Calibri" w:hAnsi="Calibri" w:eastAsia="宋体" w:cs="Times New Roman"/>
      <w:szCs w:val="24"/>
    </w:rPr>
  </w:style>
  <w:style w:type="character" w:customStyle="1" w:styleId="154">
    <w:name w:val="Char Char14"/>
    <w:qFormat/>
    <w:uiPriority w:val="0"/>
    <w:rPr>
      <w:kern w:val="2"/>
      <w:sz w:val="18"/>
      <w:szCs w:val="18"/>
    </w:rPr>
  </w:style>
  <w:style w:type="character" w:customStyle="1" w:styleId="155">
    <w:name w:val="正文文本缩进 2 Char2"/>
    <w:semiHidden/>
    <w:qFormat/>
    <w:uiPriority w:val="99"/>
    <w:rPr>
      <w:rFonts w:ascii="Calibri" w:hAnsi="Calibri" w:eastAsia="宋体" w:cs="Times New Roman"/>
      <w:szCs w:val="24"/>
    </w:rPr>
  </w:style>
  <w:style w:type="character" w:customStyle="1" w:styleId="156">
    <w:name w:val="脚注文本 Char"/>
    <w:qFormat/>
    <w:uiPriority w:val="0"/>
    <w:rPr>
      <w:rFonts w:ascii="Arial" w:hAnsi="Arial" w:eastAsia="宋体" w:cs="Arial"/>
      <w:sz w:val="18"/>
      <w:szCs w:val="18"/>
      <w:lang w:eastAsia="en-US"/>
    </w:rPr>
  </w:style>
  <w:style w:type="character" w:customStyle="1" w:styleId="157">
    <w:name w:val="Char Char35"/>
    <w:qFormat/>
    <w:uiPriority w:val="0"/>
    <w:rPr>
      <w:rFonts w:ascii="仿宋_GB2312" w:eastAsia="仿宋_GB2312" w:cs="MingLiU"/>
      <w:b/>
      <w:sz w:val="24"/>
      <w:szCs w:val="28"/>
    </w:rPr>
  </w:style>
  <w:style w:type="character" w:customStyle="1" w:styleId="158">
    <w:name w:val="ca-141"/>
    <w:qFormat/>
    <w:uiPriority w:val="0"/>
    <w:rPr>
      <w:rFonts w:hint="eastAsia" w:ascii="仿宋_GB2312" w:eastAsia="仿宋_GB2312"/>
      <w:sz w:val="21"/>
      <w:szCs w:val="21"/>
    </w:rPr>
  </w:style>
  <w:style w:type="character" w:customStyle="1" w:styleId="159">
    <w:name w:val="页眉 Char1"/>
    <w:semiHidden/>
    <w:qFormat/>
    <w:uiPriority w:val="99"/>
    <w:rPr>
      <w:kern w:val="2"/>
      <w:sz w:val="18"/>
      <w:szCs w:val="18"/>
    </w:rPr>
  </w:style>
  <w:style w:type="character" w:customStyle="1" w:styleId="160">
    <w:name w:val="标题 9 Char"/>
    <w:qFormat/>
    <w:uiPriority w:val="0"/>
    <w:rPr>
      <w:rFonts w:ascii="Arial" w:hAnsi="Arial" w:eastAsia="黑体" w:cs="Times New Roman"/>
      <w:szCs w:val="21"/>
    </w:rPr>
  </w:style>
  <w:style w:type="character" w:customStyle="1" w:styleId="161">
    <w:name w:val="正文文本 3 Char1"/>
    <w:qFormat/>
    <w:uiPriority w:val="0"/>
    <w:rPr>
      <w:kern w:val="2"/>
      <w:sz w:val="16"/>
      <w:szCs w:val="16"/>
    </w:rPr>
  </w:style>
  <w:style w:type="character" w:customStyle="1" w:styleId="162">
    <w:name w:val="style121"/>
    <w:qFormat/>
    <w:uiPriority w:val="0"/>
    <w:rPr>
      <w:rFonts w:hint="eastAsia" w:ascii="宋体" w:hAnsi="宋体" w:eastAsia="宋体"/>
      <w:sz w:val="18"/>
      <w:szCs w:val="18"/>
    </w:rPr>
  </w:style>
  <w:style w:type="character" w:customStyle="1" w:styleId="163">
    <w:name w:val="正文文本缩进 2 Char1"/>
    <w:qFormat/>
    <w:uiPriority w:val="0"/>
    <w:rPr>
      <w:sz w:val="28"/>
      <w:szCs w:val="24"/>
    </w:rPr>
  </w:style>
  <w:style w:type="character" w:customStyle="1" w:styleId="164">
    <w:name w:val="HTML 预设格式 Char2"/>
    <w:semiHidden/>
    <w:qFormat/>
    <w:uiPriority w:val="99"/>
    <w:rPr>
      <w:rFonts w:ascii="Courier New" w:hAnsi="Courier New" w:eastAsia="宋体" w:cs="Courier New"/>
      <w:sz w:val="20"/>
      <w:szCs w:val="20"/>
    </w:rPr>
  </w:style>
  <w:style w:type="character" w:customStyle="1" w:styleId="165">
    <w:name w:val="明显引用 Char2"/>
    <w:qFormat/>
    <w:uiPriority w:val="99"/>
    <w:rPr>
      <w:b/>
      <w:bCs/>
      <w:i/>
      <w:iCs/>
      <w:color w:val="4F81BD"/>
      <w:kern w:val="2"/>
      <w:sz w:val="21"/>
      <w:szCs w:val="24"/>
    </w:rPr>
  </w:style>
  <w:style w:type="character" w:customStyle="1" w:styleId="166">
    <w:name w:val="正文文本缩进 3 Char"/>
    <w:qFormat/>
    <w:uiPriority w:val="0"/>
    <w:rPr>
      <w:kern w:val="2"/>
      <w:sz w:val="16"/>
      <w:szCs w:val="16"/>
    </w:rPr>
  </w:style>
  <w:style w:type="character" w:customStyle="1" w:styleId="167">
    <w:name w:val="页脚 Char"/>
    <w:qFormat/>
    <w:uiPriority w:val="99"/>
    <w:rPr>
      <w:sz w:val="18"/>
      <w:szCs w:val="18"/>
    </w:rPr>
  </w:style>
  <w:style w:type="character" w:customStyle="1" w:styleId="168">
    <w:name w:val="main_tdbg_7601"/>
    <w:qFormat/>
    <w:uiPriority w:val="0"/>
    <w:rPr>
      <w:sz w:val="14"/>
      <w:szCs w:val="14"/>
    </w:rPr>
  </w:style>
  <w:style w:type="character" w:customStyle="1" w:styleId="169">
    <w:name w:val="标题 5 Char1"/>
    <w:qFormat/>
    <w:uiPriority w:val="0"/>
    <w:rPr>
      <w:rFonts w:ascii="宋体" w:hAnsi="宋体" w:eastAsia="宋体" w:cs="宋体"/>
      <w:b/>
      <w:bCs/>
      <w:sz w:val="20"/>
      <w:szCs w:val="20"/>
    </w:rPr>
  </w:style>
  <w:style w:type="character" w:customStyle="1" w:styleId="170">
    <w:name w:val="批注框文本 Char"/>
    <w:qFormat/>
    <w:uiPriority w:val="0"/>
    <w:rPr>
      <w:sz w:val="18"/>
      <w:szCs w:val="18"/>
    </w:rPr>
  </w:style>
  <w:style w:type="character" w:customStyle="1" w:styleId="171">
    <w:name w:val="普通文字 Char Char2"/>
    <w:qFormat/>
    <w:uiPriority w:val="0"/>
    <w:rPr>
      <w:rFonts w:ascii="宋体" w:hAnsi="Courier New"/>
      <w:kern w:val="2"/>
      <w:sz w:val="28"/>
      <w:szCs w:val="28"/>
    </w:rPr>
  </w:style>
  <w:style w:type="character" w:customStyle="1" w:styleId="172">
    <w:name w:val="标题 Char"/>
    <w:qFormat/>
    <w:uiPriority w:val="0"/>
    <w:rPr>
      <w:rFonts w:ascii="Cambria" w:hAnsi="Cambria" w:eastAsia="宋体" w:cs="Times New Roman"/>
      <w:b/>
      <w:bCs/>
      <w:kern w:val="2"/>
      <w:sz w:val="32"/>
      <w:szCs w:val="32"/>
    </w:rPr>
  </w:style>
  <w:style w:type="character" w:customStyle="1" w:styleId="173">
    <w:name w:val="ht1"/>
    <w:qFormat/>
    <w:uiPriority w:val="0"/>
    <w:rPr>
      <w:rFonts w:ascii="黑体" w:eastAsia="黑体"/>
      <w:b/>
      <w:bCs/>
    </w:rPr>
  </w:style>
  <w:style w:type="character" w:customStyle="1" w:styleId="174">
    <w:name w:val="font161"/>
    <w:qFormat/>
    <w:uiPriority w:val="0"/>
    <w:rPr>
      <w:b/>
      <w:bCs/>
      <w:sz w:val="32"/>
      <w:szCs w:val="32"/>
    </w:rPr>
  </w:style>
  <w:style w:type="character" w:customStyle="1" w:styleId="175">
    <w:name w:val="docpro"/>
    <w:qFormat/>
    <w:uiPriority w:val="0"/>
  </w:style>
  <w:style w:type="character" w:customStyle="1" w:styleId="176">
    <w:name w:val="Char Char22"/>
    <w:qFormat/>
    <w:uiPriority w:val="0"/>
    <w:rPr>
      <w:b/>
      <w:bCs/>
      <w:kern w:val="2"/>
      <w:sz w:val="32"/>
      <w:szCs w:val="32"/>
    </w:rPr>
  </w:style>
  <w:style w:type="character" w:customStyle="1" w:styleId="177">
    <w:name w:val="textcontents"/>
    <w:qFormat/>
    <w:uiPriority w:val="0"/>
    <w:rPr>
      <w:rFonts w:cs="Times New Roman"/>
    </w:rPr>
  </w:style>
  <w:style w:type="character" w:customStyle="1" w:styleId="178">
    <w:name w:val="批注框文本 Char2"/>
    <w:qFormat/>
    <w:uiPriority w:val="0"/>
    <w:rPr>
      <w:kern w:val="2"/>
      <w:sz w:val="18"/>
      <w:szCs w:val="18"/>
    </w:rPr>
  </w:style>
  <w:style w:type="character" w:customStyle="1" w:styleId="179">
    <w:name w:val="标题 3 Char"/>
    <w:qFormat/>
    <w:uiPriority w:val="9"/>
    <w:rPr>
      <w:rFonts w:ascii="仿宋_GB2312" w:hAnsi="Calibri" w:eastAsia="仿宋_GB2312" w:cs="Times New Roman"/>
      <w:b/>
      <w:kern w:val="0"/>
      <w:sz w:val="24"/>
      <w:szCs w:val="28"/>
    </w:rPr>
  </w:style>
  <w:style w:type="character" w:customStyle="1" w:styleId="180">
    <w:name w:val="正文文本 3 Char"/>
    <w:qFormat/>
    <w:uiPriority w:val="0"/>
    <w:rPr>
      <w:kern w:val="2"/>
      <w:sz w:val="16"/>
      <w:szCs w:val="16"/>
    </w:rPr>
  </w:style>
  <w:style w:type="character" w:customStyle="1" w:styleId="181">
    <w:name w:val="未处理的提及1"/>
    <w:unhideWhenUsed/>
    <w:qFormat/>
    <w:uiPriority w:val="99"/>
    <w:rPr>
      <w:color w:val="808080"/>
      <w:shd w:val="clear" w:color="auto" w:fill="E6E6E6"/>
    </w:rPr>
  </w:style>
  <w:style w:type="character" w:customStyle="1" w:styleId="182">
    <w:name w:val="批注文字 Char"/>
    <w:qFormat/>
    <w:uiPriority w:val="0"/>
    <w:rPr>
      <w:rFonts w:ascii="Times New Roman" w:hAnsi="Times New Roman" w:eastAsia="宋体" w:cs="Times New Roman"/>
      <w:kern w:val="2"/>
      <w:sz w:val="21"/>
      <w:szCs w:val="24"/>
    </w:rPr>
  </w:style>
  <w:style w:type="character" w:customStyle="1" w:styleId="183">
    <w:name w:val="引用 Char1"/>
    <w:link w:val="184"/>
    <w:qFormat/>
    <w:uiPriority w:val="29"/>
    <w:rPr>
      <w:rFonts w:ascii="Times New Roman" w:hAnsi="Times New Roman" w:eastAsia="宋体" w:cs="Times New Roman"/>
      <w:i/>
      <w:iCs/>
      <w:color w:val="000000"/>
      <w:szCs w:val="20"/>
    </w:rPr>
  </w:style>
  <w:style w:type="paragraph" w:customStyle="1" w:styleId="184">
    <w:name w:val="引用11"/>
    <w:basedOn w:val="1"/>
    <w:next w:val="1"/>
    <w:link w:val="183"/>
    <w:qFormat/>
    <w:uiPriority w:val="29"/>
    <w:rPr>
      <w:i/>
      <w:iCs/>
      <w:color w:val="000000"/>
      <w:kern w:val="0"/>
      <w:sz w:val="20"/>
      <w:szCs w:val="20"/>
    </w:rPr>
  </w:style>
  <w:style w:type="character" w:customStyle="1" w:styleId="185">
    <w:name w:val="cldh_img1"/>
    <w:qFormat/>
    <w:uiPriority w:val="0"/>
  </w:style>
  <w:style w:type="character" w:customStyle="1" w:styleId="186">
    <w:name w:val="明显引用 Char1"/>
    <w:link w:val="187"/>
    <w:qFormat/>
    <w:uiPriority w:val="30"/>
    <w:rPr>
      <w:rFonts w:ascii="Times New Roman" w:hAnsi="Times New Roman" w:eastAsia="宋体" w:cs="Times New Roman"/>
      <w:b/>
      <w:bCs/>
      <w:i/>
      <w:iCs/>
      <w:color w:val="4F81BD"/>
      <w:szCs w:val="20"/>
    </w:rPr>
  </w:style>
  <w:style w:type="paragraph" w:customStyle="1" w:styleId="187">
    <w:name w:val="明显引用12"/>
    <w:basedOn w:val="1"/>
    <w:next w:val="1"/>
    <w:link w:val="186"/>
    <w:qFormat/>
    <w:uiPriority w:val="30"/>
    <w:pPr>
      <w:pBdr>
        <w:bottom w:val="single" w:color="4F81BD" w:sz="4" w:space="4"/>
      </w:pBdr>
      <w:spacing w:before="200" w:after="280"/>
      <w:ind w:left="936" w:right="936"/>
    </w:pPr>
    <w:rPr>
      <w:b/>
      <w:bCs/>
      <w:i/>
      <w:iCs/>
      <w:color w:val="4F81BD"/>
      <w:kern w:val="0"/>
      <w:sz w:val="20"/>
      <w:szCs w:val="20"/>
    </w:rPr>
  </w:style>
  <w:style w:type="character" w:customStyle="1" w:styleId="188">
    <w:name w:val="纯文本 Char2"/>
    <w:semiHidden/>
    <w:qFormat/>
    <w:uiPriority w:val="99"/>
    <w:rPr>
      <w:rFonts w:ascii="宋体" w:hAnsi="Courier New" w:eastAsia="宋体" w:cs="Courier New"/>
      <w:szCs w:val="21"/>
    </w:rPr>
  </w:style>
  <w:style w:type="character" w:customStyle="1" w:styleId="189">
    <w:name w:val="普通文字 Char Char1"/>
    <w:qFormat/>
    <w:uiPriority w:val="0"/>
    <w:rPr>
      <w:rFonts w:ascii="宋体" w:hAnsi="Courier New"/>
      <w:kern w:val="2"/>
      <w:sz w:val="28"/>
      <w:szCs w:val="28"/>
    </w:rPr>
  </w:style>
  <w:style w:type="character" w:customStyle="1" w:styleId="190">
    <w:name w:val="引用 Char4"/>
    <w:link w:val="191"/>
    <w:qFormat/>
    <w:uiPriority w:val="0"/>
    <w:rPr>
      <w:rFonts w:ascii="Times New Roman" w:hAnsi="Times New Roman" w:eastAsia="宋体" w:cs="Times New Roman"/>
      <w:i/>
      <w:iCs/>
      <w:color w:val="000000"/>
    </w:rPr>
  </w:style>
  <w:style w:type="paragraph" w:customStyle="1" w:styleId="191">
    <w:name w:val="引用1"/>
    <w:basedOn w:val="1"/>
    <w:next w:val="1"/>
    <w:link w:val="190"/>
    <w:qFormat/>
    <w:uiPriority w:val="0"/>
    <w:rPr>
      <w:i/>
      <w:iCs/>
      <w:color w:val="000000"/>
      <w:kern w:val="0"/>
      <w:sz w:val="20"/>
      <w:szCs w:val="20"/>
    </w:rPr>
  </w:style>
  <w:style w:type="character" w:customStyle="1" w:styleId="192">
    <w:name w:val="引用 Char"/>
    <w:link w:val="193"/>
    <w:qFormat/>
    <w:uiPriority w:val="0"/>
    <w:rPr>
      <w:rFonts w:ascii="Times New Roman" w:hAnsi="Times New Roman" w:eastAsia="宋体" w:cs="Times New Roman"/>
      <w:i/>
      <w:iCs/>
      <w:color w:val="000000"/>
      <w:szCs w:val="24"/>
    </w:rPr>
  </w:style>
  <w:style w:type="paragraph" w:customStyle="1" w:styleId="193">
    <w:name w:val="引用2"/>
    <w:basedOn w:val="1"/>
    <w:next w:val="1"/>
    <w:link w:val="192"/>
    <w:qFormat/>
    <w:uiPriority w:val="0"/>
    <w:rPr>
      <w:i/>
      <w:iCs/>
      <w:color w:val="000000"/>
      <w:kern w:val="0"/>
      <w:sz w:val="20"/>
    </w:rPr>
  </w:style>
  <w:style w:type="character" w:customStyle="1" w:styleId="194">
    <w:name w:val="标题 6 Char"/>
    <w:qFormat/>
    <w:uiPriority w:val="0"/>
    <w:rPr>
      <w:rFonts w:ascii="Arial" w:hAnsi="Arial" w:eastAsia="黑体" w:cs="Times New Roman"/>
      <w:b/>
      <w:bCs/>
      <w:sz w:val="24"/>
      <w:szCs w:val="24"/>
    </w:rPr>
  </w:style>
  <w:style w:type="character" w:customStyle="1" w:styleId="195">
    <w:name w:val="副标题 Char"/>
    <w:qFormat/>
    <w:uiPriority w:val="0"/>
    <w:rPr>
      <w:rFonts w:ascii="Cambria" w:hAnsi="Cambria" w:eastAsia="宋体" w:cs="Times New Roman"/>
      <w:b/>
      <w:bCs/>
      <w:kern w:val="28"/>
      <w:sz w:val="32"/>
      <w:szCs w:val="32"/>
    </w:rPr>
  </w:style>
  <w:style w:type="character" w:customStyle="1" w:styleId="196">
    <w:name w:val="标题4 Char Char"/>
    <w:link w:val="197"/>
    <w:qFormat/>
    <w:uiPriority w:val="0"/>
    <w:rPr>
      <w:rFonts w:ascii="Arial" w:hAnsi="Arial" w:eastAsia="宋体" w:cs="Times New Roman"/>
      <w:b/>
      <w:bCs/>
      <w:kern w:val="0"/>
      <w:sz w:val="24"/>
      <w:szCs w:val="32"/>
    </w:rPr>
  </w:style>
  <w:style w:type="paragraph" w:customStyle="1" w:styleId="197">
    <w:name w:val="标题4"/>
    <w:basedOn w:val="4"/>
    <w:next w:val="20"/>
    <w:link w:val="196"/>
    <w:qFormat/>
    <w:uiPriority w:val="0"/>
    <w:pPr>
      <w:spacing w:line="413" w:lineRule="auto"/>
    </w:pPr>
    <w:rPr>
      <w:rFonts w:ascii="Arial" w:hAnsi="Arial"/>
      <w:sz w:val="24"/>
    </w:rPr>
  </w:style>
  <w:style w:type="character" w:customStyle="1" w:styleId="198">
    <w:name w:val="批注文字 Char1"/>
    <w:qFormat/>
    <w:uiPriority w:val="99"/>
    <w:rPr>
      <w:rFonts w:ascii="Times New Roman" w:hAnsi="Times New Roman" w:eastAsia="宋体" w:cs="Times New Roman"/>
      <w:szCs w:val="24"/>
    </w:rPr>
  </w:style>
  <w:style w:type="character" w:customStyle="1" w:styleId="199">
    <w:name w:val="纯文本 Char"/>
    <w:qFormat/>
    <w:uiPriority w:val="0"/>
    <w:rPr>
      <w:rFonts w:ascii="宋体" w:hAnsi="Courier New"/>
      <w:sz w:val="28"/>
      <w:szCs w:val="28"/>
    </w:rPr>
  </w:style>
  <w:style w:type="character" w:customStyle="1" w:styleId="200">
    <w:name w:val="明显引用 Char4"/>
    <w:link w:val="201"/>
    <w:qFormat/>
    <w:uiPriority w:val="0"/>
    <w:rPr>
      <w:rFonts w:ascii="Times New Roman" w:hAnsi="Times New Roman" w:eastAsia="宋体" w:cs="Times New Roman"/>
      <w:b/>
      <w:bCs/>
      <w:i/>
      <w:iCs/>
      <w:color w:val="4F81BD"/>
    </w:rPr>
  </w:style>
  <w:style w:type="paragraph" w:customStyle="1" w:styleId="201">
    <w:name w:val="明显引用1"/>
    <w:basedOn w:val="1"/>
    <w:next w:val="1"/>
    <w:link w:val="200"/>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02">
    <w:name w:val="ITTHEADER2 Char"/>
    <w:qFormat/>
    <w:uiPriority w:val="0"/>
    <w:rPr>
      <w:rFonts w:ascii="仿宋_GB2312" w:eastAsia="仿宋_GB2312" w:cs="MingLiU"/>
      <w:b/>
      <w:spacing w:val="1"/>
      <w:w w:val="99"/>
      <w:sz w:val="28"/>
      <w:szCs w:val="32"/>
      <w:lang w:val="en-US" w:eastAsia="zh-CN" w:bidi="ar-SA"/>
    </w:rPr>
  </w:style>
  <w:style w:type="character" w:customStyle="1" w:styleId="203">
    <w:name w:val="副标题 Char1"/>
    <w:qFormat/>
    <w:uiPriority w:val="0"/>
    <w:rPr>
      <w:szCs w:val="24"/>
      <w:u w:val="single"/>
      <w:lang w:eastAsia="en-US"/>
    </w:rPr>
  </w:style>
  <w:style w:type="character" w:customStyle="1" w:styleId="204">
    <w:name w:val="文档结构图 Char"/>
    <w:qFormat/>
    <w:uiPriority w:val="0"/>
    <w:rPr>
      <w:rFonts w:ascii="宋体"/>
      <w:kern w:val="2"/>
      <w:sz w:val="18"/>
      <w:szCs w:val="18"/>
    </w:rPr>
  </w:style>
  <w:style w:type="character" w:customStyle="1" w:styleId="205">
    <w:name w:val="Section Char"/>
    <w:qFormat/>
    <w:uiPriority w:val="0"/>
    <w:rPr>
      <w:rFonts w:ascii="仿宋_GB2312" w:eastAsia="仿宋_GB2312" w:cs="MingLiU"/>
      <w:b/>
      <w:sz w:val="24"/>
      <w:szCs w:val="28"/>
      <w:lang w:val="en-US" w:eastAsia="zh-CN" w:bidi="ar-SA"/>
    </w:rPr>
  </w:style>
  <w:style w:type="character" w:customStyle="1" w:styleId="206">
    <w:name w:val="正文文本缩进 3 Char2"/>
    <w:semiHidden/>
    <w:qFormat/>
    <w:uiPriority w:val="99"/>
    <w:rPr>
      <w:rFonts w:ascii="Calibri" w:hAnsi="Calibri" w:eastAsia="宋体" w:cs="Times New Roman"/>
      <w:sz w:val="16"/>
      <w:szCs w:val="16"/>
    </w:rPr>
  </w:style>
  <w:style w:type="character" w:customStyle="1" w:styleId="207">
    <w:name w:val="标题 8 Char"/>
    <w:qFormat/>
    <w:uiPriority w:val="0"/>
    <w:rPr>
      <w:rFonts w:ascii="Arial" w:hAnsi="Arial" w:eastAsia="黑体" w:cs="Times New Roman"/>
      <w:sz w:val="24"/>
      <w:szCs w:val="24"/>
    </w:rPr>
  </w:style>
  <w:style w:type="character" w:customStyle="1" w:styleId="208">
    <w:name w:val="标题5 Char Char"/>
    <w:link w:val="209"/>
    <w:qFormat/>
    <w:uiPriority w:val="0"/>
    <w:rPr>
      <w:rFonts w:ascii="Arial" w:hAnsi="Arial" w:eastAsia="宋体" w:cs="Times New Roman"/>
      <w:b/>
      <w:bCs/>
      <w:kern w:val="0"/>
      <w:sz w:val="24"/>
      <w:szCs w:val="32"/>
    </w:rPr>
  </w:style>
  <w:style w:type="paragraph" w:customStyle="1" w:styleId="209">
    <w:name w:val="标题5"/>
    <w:basedOn w:val="5"/>
    <w:link w:val="208"/>
    <w:qFormat/>
    <w:uiPriority w:val="0"/>
    <w:pPr>
      <w:spacing w:line="413" w:lineRule="auto"/>
    </w:pPr>
    <w:rPr>
      <w:rFonts w:ascii="Arial" w:hAnsi="Arial"/>
      <w:sz w:val="24"/>
    </w:rPr>
  </w:style>
  <w:style w:type="character" w:customStyle="1" w:styleId="210">
    <w:name w:val="副标题 Char2"/>
    <w:qFormat/>
    <w:uiPriority w:val="11"/>
    <w:rPr>
      <w:rFonts w:ascii="Cambria" w:hAnsi="Cambria" w:eastAsia="宋体" w:cs="Times New Roman"/>
      <w:b/>
      <w:bCs/>
      <w:kern w:val="28"/>
      <w:sz w:val="32"/>
      <w:szCs w:val="32"/>
    </w:rPr>
  </w:style>
  <w:style w:type="character" w:customStyle="1" w:styleId="211">
    <w:name w:val="正文文本缩进 Char1"/>
    <w:qFormat/>
    <w:uiPriority w:val="0"/>
    <w:rPr>
      <w:kern w:val="2"/>
      <w:sz w:val="21"/>
      <w:szCs w:val="24"/>
    </w:rPr>
  </w:style>
  <w:style w:type="character" w:customStyle="1" w:styleId="212">
    <w:name w:val="标题 1 Char"/>
    <w:qFormat/>
    <w:uiPriority w:val="0"/>
    <w:rPr>
      <w:rFonts w:ascii="Times New Roman" w:hAnsi="Times New Roman" w:eastAsia="宋体" w:cs="Times New Roman"/>
      <w:b/>
      <w:bCs/>
      <w:kern w:val="44"/>
      <w:sz w:val="44"/>
      <w:szCs w:val="44"/>
    </w:rPr>
  </w:style>
  <w:style w:type="character" w:customStyle="1" w:styleId="213">
    <w:name w:val="不明显参考1"/>
    <w:qFormat/>
    <w:uiPriority w:val="0"/>
    <w:rPr>
      <w:smallCaps/>
      <w:color w:val="C0504D"/>
      <w:u w:val="single"/>
    </w:rPr>
  </w:style>
  <w:style w:type="character" w:customStyle="1" w:styleId="214">
    <w:name w:val="标题 4 Char"/>
    <w:qFormat/>
    <w:uiPriority w:val="0"/>
    <w:rPr>
      <w:rFonts w:ascii="仿宋_GB2312" w:hAnsi="Calibri" w:eastAsia="仿宋_GB2312" w:cs="Times New Roman"/>
      <w:b/>
      <w:kern w:val="0"/>
      <w:sz w:val="24"/>
      <w:szCs w:val="28"/>
    </w:rPr>
  </w:style>
  <w:style w:type="character" w:customStyle="1" w:styleId="215">
    <w:name w:val="正文文本 Char"/>
    <w:qFormat/>
    <w:uiPriority w:val="0"/>
    <w:rPr>
      <w:sz w:val="26"/>
      <w:szCs w:val="24"/>
    </w:rPr>
  </w:style>
  <w:style w:type="character" w:customStyle="1" w:styleId="216">
    <w:name w:val="正文文本缩进 2 Char"/>
    <w:qFormat/>
    <w:uiPriority w:val="0"/>
    <w:rPr>
      <w:kern w:val="2"/>
      <w:sz w:val="21"/>
      <w:szCs w:val="24"/>
    </w:rPr>
  </w:style>
  <w:style w:type="character" w:customStyle="1" w:styleId="217">
    <w:name w:val="脚注文本 Char2"/>
    <w:semiHidden/>
    <w:qFormat/>
    <w:uiPriority w:val="99"/>
    <w:rPr>
      <w:rFonts w:ascii="Calibri" w:hAnsi="Calibri" w:eastAsia="宋体" w:cs="Times New Roman"/>
      <w:sz w:val="18"/>
      <w:szCs w:val="18"/>
    </w:rPr>
  </w:style>
  <w:style w:type="character" w:customStyle="1" w:styleId="218">
    <w:name w:val="明显引用 Char"/>
    <w:qFormat/>
    <w:uiPriority w:val="0"/>
    <w:rPr>
      <w:rFonts w:ascii="Times New Roman" w:hAnsi="Times New Roman" w:eastAsia="宋体" w:cs="Times New Roman"/>
      <w:b/>
      <w:bCs/>
      <w:i/>
      <w:iCs/>
      <w:color w:val="4F81BD"/>
      <w:kern w:val="2"/>
      <w:sz w:val="21"/>
      <w:szCs w:val="24"/>
    </w:rPr>
  </w:style>
  <w:style w:type="character" w:customStyle="1" w:styleId="219">
    <w:name w:val="纯文本 Char1"/>
    <w:qFormat/>
    <w:uiPriority w:val="0"/>
    <w:rPr>
      <w:rFonts w:ascii="宋体" w:hAnsi="Courier New" w:cs="Courier New"/>
      <w:kern w:val="2"/>
      <w:sz w:val="21"/>
      <w:szCs w:val="21"/>
    </w:rPr>
  </w:style>
  <w:style w:type="character" w:customStyle="1" w:styleId="220">
    <w:name w:val="s3"/>
    <w:qFormat/>
    <w:uiPriority w:val="0"/>
  </w:style>
  <w:style w:type="character" w:customStyle="1" w:styleId="221">
    <w:name w:val="正文文本 Char3"/>
    <w:semiHidden/>
    <w:qFormat/>
    <w:uiPriority w:val="99"/>
    <w:rPr>
      <w:rFonts w:ascii="Calibri" w:hAnsi="Calibri" w:eastAsia="宋体" w:cs="Times New Roman"/>
      <w:szCs w:val="24"/>
    </w:rPr>
  </w:style>
  <w:style w:type="character" w:customStyle="1" w:styleId="222">
    <w:name w:val="Char Char12"/>
    <w:qFormat/>
    <w:uiPriority w:val="0"/>
    <w:rPr>
      <w:rFonts w:eastAsia="黑体"/>
      <w:kern w:val="2"/>
      <w:sz w:val="44"/>
      <w:szCs w:val="44"/>
      <w:lang w:val="en-US" w:eastAsia="zh-CN" w:bidi="ar-SA"/>
    </w:rPr>
  </w:style>
  <w:style w:type="character" w:customStyle="1" w:styleId="223">
    <w:name w:val="style161"/>
    <w:qFormat/>
    <w:uiPriority w:val="0"/>
    <w:rPr>
      <w:b/>
      <w:bCs/>
      <w:color w:val="333333"/>
    </w:rPr>
  </w:style>
  <w:style w:type="character" w:customStyle="1" w:styleId="224">
    <w:name w:val="14t1"/>
    <w:qFormat/>
    <w:uiPriority w:val="0"/>
    <w:rPr>
      <w:rFonts w:hint="eastAsia" w:ascii="宋体" w:hAnsi="宋体" w:eastAsia="宋体"/>
      <w:sz w:val="11"/>
      <w:szCs w:val="11"/>
    </w:rPr>
  </w:style>
  <w:style w:type="character" w:customStyle="1" w:styleId="225">
    <w:name w:val="标题 7 Char"/>
    <w:qFormat/>
    <w:uiPriority w:val="0"/>
    <w:rPr>
      <w:rFonts w:ascii="Calibri" w:hAnsi="Calibri" w:eastAsia="宋体" w:cs="Times New Roman"/>
      <w:b/>
      <w:bCs/>
      <w:sz w:val="24"/>
      <w:szCs w:val="24"/>
    </w:rPr>
  </w:style>
  <w:style w:type="character" w:customStyle="1" w:styleId="226">
    <w:name w:val="Char Char36"/>
    <w:qFormat/>
    <w:uiPriority w:val="0"/>
    <w:rPr>
      <w:rFonts w:ascii="仿宋_GB2312" w:eastAsia="仿宋_GB2312" w:cs="MingLiU"/>
      <w:b/>
      <w:sz w:val="24"/>
      <w:szCs w:val="28"/>
    </w:rPr>
  </w:style>
  <w:style w:type="character" w:customStyle="1" w:styleId="227">
    <w:name w:val="尾注文本 Char1"/>
    <w:qFormat/>
    <w:uiPriority w:val="0"/>
    <w:rPr>
      <w:rFonts w:ascii="Arial" w:hAnsi="Arial" w:cs="Arial"/>
      <w:szCs w:val="24"/>
      <w:lang w:eastAsia="en-US"/>
    </w:rPr>
  </w:style>
  <w:style w:type="character" w:customStyle="1" w:styleId="228">
    <w:name w:val="尾注文本 Char2"/>
    <w:semiHidden/>
    <w:qFormat/>
    <w:uiPriority w:val="99"/>
    <w:rPr>
      <w:rFonts w:ascii="Calibri" w:hAnsi="Calibri" w:eastAsia="宋体" w:cs="Times New Roman"/>
      <w:szCs w:val="24"/>
    </w:rPr>
  </w:style>
  <w:style w:type="character" w:customStyle="1" w:styleId="229">
    <w:name w:val="标题 Char1"/>
    <w:qFormat/>
    <w:uiPriority w:val="10"/>
    <w:rPr>
      <w:szCs w:val="24"/>
      <w:u w:val="single"/>
      <w:lang w:eastAsia="en-US"/>
    </w:rPr>
  </w:style>
  <w:style w:type="character" w:customStyle="1" w:styleId="230">
    <w:name w:val="datetime"/>
    <w:qFormat/>
    <w:uiPriority w:val="0"/>
    <w:rPr>
      <w:color w:val="808080"/>
      <w:sz w:val="21"/>
      <w:szCs w:val="21"/>
    </w:rPr>
  </w:style>
  <w:style w:type="character" w:customStyle="1" w:styleId="231">
    <w:name w:val="style31"/>
    <w:qFormat/>
    <w:uiPriority w:val="0"/>
    <w:rPr>
      <w:sz w:val="10"/>
      <w:szCs w:val="10"/>
    </w:rPr>
  </w:style>
  <w:style w:type="character" w:customStyle="1" w:styleId="232">
    <w:name w:val="日期 Char2"/>
    <w:qFormat/>
    <w:uiPriority w:val="99"/>
    <w:rPr>
      <w:kern w:val="2"/>
      <w:sz w:val="21"/>
      <w:szCs w:val="24"/>
    </w:rPr>
  </w:style>
  <w:style w:type="character" w:customStyle="1" w:styleId="233">
    <w:name w:val="HTML 预设格式 Char"/>
    <w:qFormat/>
    <w:uiPriority w:val="0"/>
    <w:rPr>
      <w:rFonts w:ascii="宋体" w:hAnsi="宋体" w:eastAsia="宋体" w:cs="宋体"/>
      <w:color w:val="000000"/>
      <w:sz w:val="24"/>
      <w:szCs w:val="24"/>
    </w:rPr>
  </w:style>
  <w:style w:type="character" w:customStyle="1" w:styleId="234">
    <w:name w:val="title11"/>
    <w:qFormat/>
    <w:uiPriority w:val="0"/>
    <w:rPr>
      <w:b/>
      <w:bCs/>
      <w:color w:val="FFFFFF"/>
      <w:sz w:val="11"/>
      <w:szCs w:val="11"/>
    </w:rPr>
  </w:style>
  <w:style w:type="character" w:customStyle="1" w:styleId="235">
    <w:name w:val="书籍标题1"/>
    <w:qFormat/>
    <w:uiPriority w:val="0"/>
    <w:rPr>
      <w:b/>
      <w:bCs/>
      <w:smallCaps/>
      <w:spacing w:val="5"/>
    </w:rPr>
  </w:style>
  <w:style w:type="character" w:customStyle="1" w:styleId="236">
    <w:name w:val="日期 Char1"/>
    <w:qFormat/>
    <w:uiPriority w:val="0"/>
    <w:rPr>
      <w:kern w:val="2"/>
      <w:sz w:val="21"/>
      <w:szCs w:val="22"/>
    </w:rPr>
  </w:style>
  <w:style w:type="character" w:customStyle="1" w:styleId="237">
    <w:name w:val="文档结构图 Char2"/>
    <w:qFormat/>
    <w:uiPriority w:val="99"/>
    <w:rPr>
      <w:kern w:val="2"/>
      <w:sz w:val="21"/>
      <w:szCs w:val="24"/>
      <w:shd w:val="clear" w:color="auto" w:fill="000080"/>
    </w:rPr>
  </w:style>
  <w:style w:type="character" w:customStyle="1" w:styleId="238">
    <w:name w:val="正文文本 Char1"/>
    <w:qFormat/>
    <w:uiPriority w:val="0"/>
    <w:rPr>
      <w:kern w:val="2"/>
      <w:sz w:val="21"/>
      <w:szCs w:val="22"/>
    </w:rPr>
  </w:style>
  <w:style w:type="character" w:customStyle="1" w:styleId="239">
    <w:name w:val="明显强调1"/>
    <w:qFormat/>
    <w:uiPriority w:val="0"/>
    <w:rPr>
      <w:b/>
      <w:bCs/>
      <w:i/>
      <w:iCs/>
      <w:color w:val="4F81BD"/>
    </w:rPr>
  </w:style>
  <w:style w:type="character" w:customStyle="1" w:styleId="240">
    <w:name w:val="文档结构图 Char1"/>
    <w:qFormat/>
    <w:uiPriority w:val="0"/>
    <w:rPr>
      <w:rFonts w:ascii="宋体"/>
      <w:kern w:val="2"/>
      <w:sz w:val="18"/>
      <w:szCs w:val="18"/>
    </w:rPr>
  </w:style>
  <w:style w:type="character" w:customStyle="1" w:styleId="241">
    <w:name w:val="正文文本 3 Char2"/>
    <w:semiHidden/>
    <w:qFormat/>
    <w:uiPriority w:val="99"/>
    <w:rPr>
      <w:rFonts w:ascii="Calibri" w:hAnsi="Calibri" w:eastAsia="宋体" w:cs="Times New Roman"/>
      <w:sz w:val="16"/>
      <w:szCs w:val="16"/>
    </w:rPr>
  </w:style>
  <w:style w:type="character" w:customStyle="1" w:styleId="242">
    <w:name w:val="批注框文本 Char1"/>
    <w:qFormat/>
    <w:uiPriority w:val="0"/>
    <w:rPr>
      <w:kern w:val="2"/>
      <w:sz w:val="18"/>
      <w:szCs w:val="18"/>
    </w:rPr>
  </w:style>
  <w:style w:type="character" w:customStyle="1" w:styleId="243">
    <w:name w:val="文档结构图 Char3"/>
    <w:semiHidden/>
    <w:qFormat/>
    <w:uiPriority w:val="99"/>
    <w:rPr>
      <w:rFonts w:ascii="宋体" w:hAnsi="Calibri" w:eastAsia="宋体" w:cs="Times New Roman"/>
      <w:sz w:val="18"/>
      <w:szCs w:val="18"/>
    </w:rPr>
  </w:style>
  <w:style w:type="character" w:customStyle="1" w:styleId="244">
    <w:name w:val="批注文字 Char2"/>
    <w:qFormat/>
    <w:uiPriority w:val="0"/>
    <w:rPr>
      <w:rFonts w:ascii="Calibri" w:hAnsi="Calibri" w:eastAsia="宋体" w:cs="Times New Roman"/>
      <w:szCs w:val="24"/>
    </w:rPr>
  </w:style>
  <w:style w:type="character" w:customStyle="1" w:styleId="245">
    <w:name w:val="ss16"/>
    <w:qFormat/>
    <w:uiPriority w:val="0"/>
    <w:rPr>
      <w:rFonts w:hint="eastAsia" w:ascii="宋体" w:hAnsi="宋体" w:eastAsia="宋体"/>
      <w:color w:val="000000"/>
      <w:sz w:val="9"/>
      <w:szCs w:val="9"/>
    </w:rPr>
  </w:style>
  <w:style w:type="character" w:customStyle="1" w:styleId="246">
    <w:name w:val="正文文本缩进 Char2"/>
    <w:semiHidden/>
    <w:qFormat/>
    <w:uiPriority w:val="99"/>
    <w:rPr>
      <w:rFonts w:ascii="Calibri" w:hAnsi="Calibri" w:eastAsia="宋体" w:cs="Times New Roman"/>
      <w:szCs w:val="24"/>
    </w:rPr>
  </w:style>
  <w:style w:type="character" w:customStyle="1" w:styleId="247">
    <w:name w:val="未处理的提及3"/>
    <w:unhideWhenUsed/>
    <w:qFormat/>
    <w:uiPriority w:val="99"/>
    <w:rPr>
      <w:color w:val="605E5C"/>
      <w:shd w:val="clear" w:color="auto" w:fill="E1DFDD"/>
    </w:rPr>
  </w:style>
  <w:style w:type="character" w:customStyle="1" w:styleId="248">
    <w:name w:val="明显参考1"/>
    <w:qFormat/>
    <w:uiPriority w:val="0"/>
    <w:rPr>
      <w:b/>
      <w:bCs/>
      <w:smallCaps/>
      <w:color w:val="C0504D"/>
      <w:spacing w:val="5"/>
      <w:u w:val="single"/>
    </w:rPr>
  </w:style>
  <w:style w:type="character" w:customStyle="1" w:styleId="249">
    <w:name w:val="l1"/>
    <w:qFormat/>
    <w:uiPriority w:val="0"/>
  </w:style>
  <w:style w:type="paragraph" w:customStyle="1" w:styleId="250">
    <w:name w:val="正文1"/>
    <w:basedOn w:val="1"/>
    <w:next w:val="1"/>
    <w:qFormat/>
    <w:uiPriority w:val="0"/>
    <w:pPr>
      <w:spacing w:line="300" w:lineRule="auto"/>
      <w:ind w:firstLine="200" w:firstLineChars="200"/>
    </w:pPr>
    <w:rPr>
      <w:sz w:val="24"/>
    </w:rPr>
  </w:style>
  <w:style w:type="paragraph" w:customStyle="1" w:styleId="251">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252">
    <w:name w:val="Table Paragraph"/>
    <w:basedOn w:val="1"/>
    <w:qFormat/>
    <w:uiPriority w:val="1"/>
    <w:rPr>
      <w:rFonts w:ascii="宋体" w:hAnsi="宋体" w:cs="宋体"/>
    </w:rPr>
  </w:style>
  <w:style w:type="paragraph" w:customStyle="1" w:styleId="253">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54">
    <w:name w:val="自定样式1"/>
    <w:basedOn w:val="1"/>
    <w:qFormat/>
    <w:uiPriority w:val="0"/>
    <w:pPr>
      <w:suppressAutoHyphens/>
      <w:jc w:val="center"/>
    </w:pPr>
    <w:rPr>
      <w:rFonts w:ascii="宋体" w:hAnsi="宋体"/>
      <w:color w:val="000000"/>
      <w:sz w:val="18"/>
    </w:rPr>
  </w:style>
  <w:style w:type="paragraph" w:customStyle="1" w:styleId="255">
    <w:name w:val="_Style 87"/>
    <w:basedOn w:val="1"/>
    <w:qFormat/>
    <w:uiPriority w:val="99"/>
    <w:pPr>
      <w:ind w:firstLine="420" w:firstLineChars="200"/>
    </w:pPr>
    <w:rPr>
      <w:rFonts w:ascii="Calibri" w:hAnsi="Calibri"/>
      <w:sz w:val="28"/>
      <w:szCs w:val="28"/>
    </w:rPr>
  </w:style>
  <w:style w:type="paragraph" w:customStyle="1" w:styleId="25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57">
    <w:name w:val="标准样式1"/>
    <w:basedOn w:val="1"/>
    <w:qFormat/>
    <w:uiPriority w:val="0"/>
    <w:pPr>
      <w:spacing w:line="600" w:lineRule="exact"/>
      <w:ind w:firstLine="567"/>
    </w:pPr>
    <w:rPr>
      <w:rFonts w:ascii="Calibri" w:hAnsi="Calibri"/>
      <w:sz w:val="28"/>
    </w:rPr>
  </w:style>
  <w:style w:type="paragraph" w:customStyle="1" w:styleId="258">
    <w:name w:val="标题2"/>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1">
    <w:name w:val="表格标题"/>
    <w:basedOn w:val="262"/>
    <w:qFormat/>
    <w:uiPriority w:val="0"/>
  </w:style>
  <w:style w:type="paragraph" w:customStyle="1" w:styleId="262">
    <w:name w:val="表格内容"/>
    <w:basedOn w:val="1"/>
    <w:qFormat/>
    <w:uiPriority w:val="0"/>
    <w:pPr>
      <w:suppressLineNumbers/>
      <w:suppressAutoHyphens/>
    </w:pPr>
  </w:style>
  <w:style w:type="paragraph" w:customStyle="1" w:styleId="263">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64">
    <w:name w:val="修订1"/>
    <w:qFormat/>
    <w:uiPriority w:val="99"/>
    <w:rPr>
      <w:rFonts w:ascii="Times New Roman" w:hAnsi="Times New Roman" w:eastAsia="宋体" w:cs="Times New Roman"/>
      <w:kern w:val="2"/>
      <w:sz w:val="21"/>
      <w:szCs w:val="24"/>
      <w:lang w:val="en-US" w:eastAsia="zh-CN" w:bidi="ar-SA"/>
    </w:rPr>
  </w:style>
  <w:style w:type="paragraph" w:customStyle="1" w:styleId="265">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6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267">
    <w:name w:val="Char1"/>
    <w:basedOn w:val="1"/>
    <w:qFormat/>
    <w:uiPriority w:val="0"/>
  </w:style>
  <w:style w:type="paragraph" w:customStyle="1" w:styleId="26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69">
    <w:name w:val="表格"/>
    <w:basedOn w:val="1"/>
    <w:qFormat/>
    <w:uiPriority w:val="0"/>
    <w:pPr>
      <w:jc w:val="center"/>
      <w:textAlignment w:val="center"/>
    </w:pPr>
    <w:rPr>
      <w:rFonts w:ascii="华文细黑" w:hAnsi="华文细黑"/>
      <w:kern w:val="0"/>
      <w:szCs w:val="20"/>
    </w:rPr>
  </w:style>
  <w:style w:type="paragraph" w:customStyle="1" w:styleId="270">
    <w:name w:val="表格文字"/>
    <w:basedOn w:val="1"/>
    <w:qFormat/>
    <w:uiPriority w:val="0"/>
    <w:pPr>
      <w:adjustRightInd w:val="0"/>
      <w:spacing w:line="420" w:lineRule="atLeast"/>
      <w:jc w:val="left"/>
      <w:textAlignment w:val="baseline"/>
    </w:pPr>
    <w:rPr>
      <w:kern w:val="0"/>
      <w:szCs w:val="20"/>
    </w:rPr>
  </w:style>
  <w:style w:type="paragraph" w:customStyle="1" w:styleId="271">
    <w:name w:val="_Style 96"/>
    <w:semiHidden/>
    <w:qFormat/>
    <w:uiPriority w:val="99"/>
    <w:rPr>
      <w:rFonts w:ascii="Calibri" w:hAnsi="Calibri" w:eastAsia="宋体" w:cs="Times New Roman"/>
      <w:kern w:val="2"/>
      <w:sz w:val="21"/>
      <w:szCs w:val="24"/>
      <w:lang w:val="en-US" w:eastAsia="zh-CN" w:bidi="ar-SA"/>
    </w:rPr>
  </w:style>
  <w:style w:type="paragraph" w:customStyle="1" w:styleId="27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列出段落11"/>
    <w:basedOn w:val="1"/>
    <w:qFormat/>
    <w:uiPriority w:val="0"/>
    <w:pPr>
      <w:ind w:firstLine="420" w:firstLineChars="200"/>
    </w:pPr>
    <w:rPr>
      <w:sz w:val="28"/>
      <w:szCs w:val="28"/>
    </w:rPr>
  </w:style>
  <w:style w:type="paragraph" w:customStyle="1" w:styleId="274">
    <w:name w:val="正  文"/>
    <w:basedOn w:val="1"/>
    <w:next w:val="1"/>
    <w:qFormat/>
    <w:uiPriority w:val="0"/>
    <w:pPr>
      <w:spacing w:line="360" w:lineRule="auto"/>
      <w:ind w:firstLine="200" w:firstLineChars="200"/>
    </w:pPr>
    <w:rPr>
      <w:rFonts w:ascii="宋体" w:hAnsi="Calibri"/>
      <w:sz w:val="24"/>
    </w:rPr>
  </w:style>
  <w:style w:type="paragraph" w:customStyle="1" w:styleId="27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7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77">
    <w:name w:val="p15"/>
    <w:basedOn w:val="1"/>
    <w:qFormat/>
    <w:uiPriority w:val="0"/>
    <w:pPr>
      <w:widowControl/>
      <w:spacing w:after="120"/>
    </w:pPr>
    <w:rPr>
      <w:kern w:val="0"/>
      <w:szCs w:val="21"/>
    </w:rPr>
  </w:style>
  <w:style w:type="paragraph" w:customStyle="1" w:styleId="27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9">
    <w:name w:val="Char9 Char Char Char Char Char Char"/>
    <w:basedOn w:val="15"/>
    <w:qFormat/>
    <w:uiPriority w:val="0"/>
    <w:pPr>
      <w:spacing w:line="360" w:lineRule="auto"/>
      <w:ind w:firstLine="200" w:firstLineChars="200"/>
    </w:pPr>
    <w:rPr>
      <w:rFonts w:ascii="Tahoma" w:hAnsi="Tahoma"/>
      <w:sz w:val="24"/>
    </w:rPr>
  </w:style>
  <w:style w:type="paragraph" w:customStyle="1" w:styleId="280">
    <w:name w:val="Char2"/>
    <w:basedOn w:val="1"/>
    <w:qFormat/>
    <w:uiPriority w:val="0"/>
    <w:rPr>
      <w:rFonts w:ascii="Calibri" w:hAnsi="Calibri"/>
    </w:rPr>
  </w:style>
  <w:style w:type="paragraph" w:customStyle="1" w:styleId="281">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8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283">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84">
    <w:name w:val="Normal_47"/>
    <w:qFormat/>
    <w:uiPriority w:val="0"/>
    <w:pPr>
      <w:spacing w:before="120" w:after="240"/>
      <w:jc w:val="both"/>
    </w:pPr>
    <w:rPr>
      <w:rFonts w:ascii="Calibri" w:hAnsi="Calibri" w:eastAsia="Calibri" w:cs="Times New Roman"/>
      <w:sz w:val="22"/>
      <w:szCs w:val="22"/>
      <w:lang w:val="ru-RU" w:eastAsia="en-US" w:bidi="ar-SA"/>
    </w:rPr>
  </w:style>
  <w:style w:type="paragraph" w:customStyle="1" w:styleId="285">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86">
    <w:name w:val="Char"/>
    <w:basedOn w:val="1"/>
    <w:qFormat/>
    <w:uiPriority w:val="0"/>
  </w:style>
  <w:style w:type="paragraph" w:customStyle="1" w:styleId="287">
    <w:name w:val="WW-表格内容"/>
    <w:basedOn w:val="1"/>
    <w:qFormat/>
    <w:uiPriority w:val="0"/>
    <w:pPr>
      <w:suppressLineNumbers/>
      <w:suppressAutoHyphens/>
    </w:pPr>
  </w:style>
  <w:style w:type="paragraph" w:customStyle="1" w:styleId="288">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8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9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1">
    <w:name w:val="Char Char"/>
    <w:basedOn w:val="1"/>
    <w:qFormat/>
    <w:uiPriority w:val="0"/>
    <w:pPr>
      <w:widowControl/>
      <w:jc w:val="left"/>
    </w:pPr>
    <w:rPr>
      <w:rFonts w:ascii="Verdana" w:hAnsi="Verdana" w:eastAsia="Times New Roman"/>
      <w:kern w:val="0"/>
      <w:sz w:val="16"/>
      <w:szCs w:val="20"/>
      <w:lang w:eastAsia="en-US"/>
    </w:rPr>
  </w:style>
  <w:style w:type="paragraph" w:customStyle="1" w:styleId="2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9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9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95">
    <w:name w:val="p16"/>
    <w:basedOn w:val="1"/>
    <w:qFormat/>
    <w:uiPriority w:val="0"/>
    <w:pPr>
      <w:widowControl/>
    </w:pPr>
    <w:rPr>
      <w:rFonts w:ascii="Calibri" w:hAnsi="Calibri" w:cs="宋体"/>
      <w:kern w:val="0"/>
      <w:szCs w:val="21"/>
    </w:rPr>
  </w:style>
  <w:style w:type="paragraph" w:customStyle="1" w:styleId="29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7">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pa-34"/>
    <w:basedOn w:val="1"/>
    <w:qFormat/>
    <w:uiPriority w:val="0"/>
    <w:pPr>
      <w:widowControl/>
      <w:spacing w:line="360" w:lineRule="atLeast"/>
      <w:ind w:firstLine="420"/>
      <w:jc w:val="left"/>
    </w:pPr>
    <w:rPr>
      <w:rFonts w:ascii="宋体" w:hAnsi="宋体" w:cs="宋体"/>
      <w:kern w:val="0"/>
      <w:sz w:val="24"/>
    </w:rPr>
  </w:style>
  <w:style w:type="paragraph" w:customStyle="1" w:styleId="29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00">
    <w:name w:val="表体"/>
    <w:basedOn w:val="1"/>
    <w:next w:val="1"/>
    <w:qFormat/>
    <w:uiPriority w:val="0"/>
    <w:pPr>
      <w:spacing w:line="0" w:lineRule="atLeast"/>
    </w:pPr>
    <w:rPr>
      <w:rFonts w:ascii="Calibri" w:hAnsi="Calibri"/>
      <w:b/>
      <w:snapToGrid/>
      <w:szCs w:val="20"/>
    </w:rPr>
  </w:style>
  <w:style w:type="paragraph" w:customStyle="1" w:styleId="301">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02">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3">
    <w:name w:val="Char Char Char Char"/>
    <w:basedOn w:val="15"/>
    <w:qFormat/>
    <w:uiPriority w:val="0"/>
    <w:pPr>
      <w:spacing w:line="360" w:lineRule="auto"/>
      <w:ind w:firstLine="200" w:firstLineChars="200"/>
    </w:pPr>
    <w:rPr>
      <w:rFonts w:ascii="Tahoma" w:hAnsi="Tahoma"/>
      <w:sz w:val="24"/>
    </w:rPr>
  </w:style>
  <w:style w:type="paragraph" w:customStyle="1" w:styleId="304">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30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306">
    <w:name w:val="pa-27"/>
    <w:basedOn w:val="1"/>
    <w:qFormat/>
    <w:uiPriority w:val="0"/>
    <w:pPr>
      <w:widowControl/>
      <w:spacing w:line="360" w:lineRule="atLeast"/>
      <w:ind w:firstLine="420"/>
    </w:pPr>
    <w:rPr>
      <w:rFonts w:ascii="宋体" w:hAnsi="宋体" w:cs="宋体"/>
      <w:kern w:val="0"/>
      <w:sz w:val="24"/>
    </w:rPr>
  </w:style>
  <w:style w:type="paragraph" w:customStyle="1" w:styleId="307">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308">
    <w:name w:val="列出段落111"/>
    <w:basedOn w:val="1"/>
    <w:qFormat/>
    <w:uiPriority w:val="0"/>
    <w:pPr>
      <w:ind w:firstLine="420" w:firstLineChars="200"/>
    </w:pPr>
    <w:rPr>
      <w:sz w:val="28"/>
      <w:szCs w:val="28"/>
    </w:rPr>
  </w:style>
  <w:style w:type="paragraph" w:customStyle="1" w:styleId="309">
    <w:name w:val="样式1"/>
    <w:basedOn w:val="1"/>
    <w:next w:val="6"/>
    <w:qFormat/>
    <w:uiPriority w:val="0"/>
    <w:pPr>
      <w:spacing w:line="360" w:lineRule="auto"/>
      <w:ind w:firstLine="420" w:firstLineChars="200"/>
    </w:pPr>
    <w:rPr>
      <w:rFonts w:ascii="宋体" w:hAnsi="宋体"/>
      <w:szCs w:val="21"/>
    </w:rPr>
  </w:style>
  <w:style w:type="paragraph" w:customStyle="1" w:styleId="310">
    <w:name w:val="TOC 标题2"/>
    <w:basedOn w:val="3"/>
    <w:next w:val="1"/>
    <w:unhideWhenUsed/>
    <w:qFormat/>
    <w:uiPriority w:val="0"/>
    <w:pPr>
      <w:outlineLvl w:val="9"/>
    </w:pPr>
    <w:rPr>
      <w:rFonts w:ascii="Calibri" w:hAnsi="Calibri"/>
    </w:rPr>
  </w:style>
  <w:style w:type="paragraph" w:customStyle="1" w:styleId="311">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12">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313">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14">
    <w:name w:val="列表段落1"/>
    <w:basedOn w:val="1"/>
    <w:qFormat/>
    <w:uiPriority w:val="34"/>
    <w:pPr>
      <w:ind w:firstLine="420" w:firstLineChars="200"/>
    </w:pPr>
    <w:rPr>
      <w:rFonts w:ascii="Calibri" w:hAnsi="Calibri"/>
    </w:rPr>
  </w:style>
  <w:style w:type="paragraph" w:customStyle="1" w:styleId="315">
    <w:name w:val="1 Char"/>
    <w:basedOn w:val="1"/>
    <w:qFormat/>
    <w:uiPriority w:val="0"/>
    <w:pPr>
      <w:widowControl/>
      <w:spacing w:after="160" w:line="240" w:lineRule="exact"/>
      <w:jc w:val="left"/>
    </w:pPr>
    <w:rPr>
      <w:rFonts w:ascii="Calibri" w:hAnsi="Calibri"/>
      <w:szCs w:val="20"/>
    </w:rPr>
  </w:style>
  <w:style w:type="paragraph" w:customStyle="1" w:styleId="31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17">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318">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19">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20">
    <w:name w:val="列出段落1"/>
    <w:basedOn w:val="1"/>
    <w:qFormat/>
    <w:uiPriority w:val="99"/>
    <w:pPr>
      <w:ind w:firstLine="420" w:firstLineChars="200"/>
    </w:pPr>
    <w:rPr>
      <w:sz w:val="28"/>
      <w:szCs w:val="28"/>
    </w:rPr>
  </w:style>
  <w:style w:type="paragraph" w:customStyle="1" w:styleId="321">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2">
    <w:name w:val="_Style 321"/>
    <w:unhideWhenUsed/>
    <w:qFormat/>
    <w:uiPriority w:val="99"/>
    <w:rPr>
      <w:rFonts w:ascii="Times New Roman" w:hAnsi="Times New Roman" w:eastAsia="宋体" w:cs="Times New Roman"/>
      <w:kern w:val="2"/>
      <w:sz w:val="21"/>
      <w:szCs w:val="24"/>
      <w:lang w:val="en-US" w:eastAsia="zh-CN" w:bidi="ar-SA"/>
    </w:rPr>
  </w:style>
  <w:style w:type="paragraph" w:customStyle="1" w:styleId="32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32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326">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3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28">
    <w:name w:val="WW-表格标题"/>
    <w:basedOn w:val="287"/>
    <w:qFormat/>
    <w:uiPriority w:val="0"/>
  </w:style>
  <w:style w:type="paragraph" w:customStyle="1" w:styleId="329">
    <w:name w:val="_Style 90"/>
    <w:next w:val="1"/>
    <w:qFormat/>
    <w:uiPriority w:val="0"/>
    <w:pPr>
      <w:widowControl w:val="0"/>
      <w:jc w:val="both"/>
    </w:pPr>
    <w:rPr>
      <w:rFonts w:ascii="Calibri" w:hAnsi="Calibri" w:eastAsia="宋体" w:cs="Times New Roman"/>
      <w:kern w:val="2"/>
      <w:sz w:val="21"/>
      <w:szCs w:val="24"/>
      <w:lang w:val="en-US" w:eastAsia="zh-CN" w:bidi="ar-SA"/>
    </w:rPr>
  </w:style>
  <w:style w:type="table" w:customStyle="1" w:styleId="330">
    <w:name w:val="Table Normal1"/>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331">
    <w:name w:val="Table Normal"/>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332">
    <w:name w:val="Table Normal2"/>
    <w:unhideWhenUsed/>
    <w:qFormat/>
    <w:uiPriority w:val="2"/>
    <w:pPr>
      <w:widowControl w:val="0"/>
      <w:autoSpaceDE w:val="0"/>
      <w:autoSpaceDN w:val="0"/>
    </w:pPr>
    <w:rPr>
      <w:sz w:val="22"/>
      <w:szCs w:val="22"/>
      <w:lang w:val="en-US" w:eastAsia="en-US" w:bidi="ar-SA"/>
    </w:rPr>
    <w:tblPr>
      <w:tblCellMar>
        <w:top w:w="0" w:type="dxa"/>
        <w:left w:w="0" w:type="dxa"/>
        <w:bottom w:w="0" w:type="dxa"/>
        <w:right w:w="0" w:type="dxa"/>
      </w:tblCellMar>
    </w:tblPr>
  </w:style>
  <w:style w:type="table" w:customStyle="1" w:styleId="333">
    <w:name w:val="网格型1"/>
    <w:basedOn w:val="4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Normal (Justified)"/>
    <w:basedOn w:val="1"/>
    <w:qFormat/>
    <w:uiPriority w:val="0"/>
    <w:rPr>
      <w:rFonts w:ascii="Calibri" w:hAnsi="Calibri"/>
      <w:sz w:val="24"/>
    </w:rPr>
  </w:style>
  <w:style w:type="paragraph" w:styleId="335">
    <w:name w:val="List Paragraph"/>
    <w:basedOn w:val="1"/>
    <w:qFormat/>
    <w:uiPriority w:val="72"/>
    <w:pPr>
      <w:widowControl/>
      <w:suppressAutoHyphens/>
      <w:autoSpaceDE w:val="0"/>
      <w:ind w:firstLine="420" w:firstLineChars="200"/>
      <w:jc w:val="left"/>
    </w:pPr>
    <w:rPr>
      <w:rFonts w:eastAsia="等线"/>
      <w:kern w:val="0"/>
      <w:sz w:val="20"/>
      <w:szCs w:val="20"/>
      <w:lang w:eastAsia="en-US"/>
    </w:rPr>
  </w:style>
  <w:style w:type="character" w:customStyle="1" w:styleId="336">
    <w:name w:val="font31"/>
    <w:qFormat/>
    <w:uiPriority w:val="0"/>
    <w:rPr>
      <w:rFonts w:hint="eastAsia" w:ascii="微软雅黑" w:hAnsi="微软雅黑" w:eastAsia="微软雅黑" w:cs="微软雅黑"/>
      <w:b/>
      <w:bCs/>
      <w:color w:val="000000"/>
      <w:sz w:val="18"/>
      <w:szCs w:val="18"/>
      <w:u w:val="none"/>
    </w:rPr>
  </w:style>
  <w:style w:type="character" w:customStyle="1" w:styleId="337">
    <w:name w:val="font01"/>
    <w:qFormat/>
    <w:uiPriority w:val="0"/>
    <w:rPr>
      <w:rFonts w:ascii="Arial" w:hAnsi="Arial" w:cs="Arial"/>
      <w:b/>
      <w:bCs/>
      <w:color w:val="000000"/>
      <w:sz w:val="18"/>
      <w:szCs w:val="18"/>
      <w:u w:val="none"/>
    </w:rPr>
  </w:style>
  <w:style w:type="paragraph" w:customStyle="1" w:styleId="338">
    <w:name w:val=" Char Char Char1 Char Char Char1 Char Char Char Char"/>
    <w:basedOn w:val="1"/>
    <w:qFormat/>
    <w:uiPriority w:val="0"/>
    <w:rPr>
      <w:szCs w:val="21"/>
    </w:rPr>
  </w:style>
  <w:style w:type="paragraph" w:customStyle="1" w:styleId="339">
    <w:name w:val=" Char"/>
    <w:basedOn w:val="1"/>
    <w:qFormat/>
    <w:uiPriority w:val="0"/>
  </w:style>
  <w:style w:type="paragraph" w:customStyle="1" w:styleId="340">
    <w:name w:val="_Style 339"/>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41">
    <w:name w:val="纯文本1"/>
    <w:basedOn w:val="250"/>
    <w:qFormat/>
    <w:uiPriority w:val="0"/>
    <w:pPr>
      <w:widowControl/>
      <w:spacing w:line="240" w:lineRule="auto"/>
      <w:ind w:firstLine="0" w:firstLineChars="0"/>
    </w:pPr>
    <w:rPr>
      <w:rFonts w:ascii="宋体" w:hAnsi="Courier New" w:cs="Courier New"/>
      <w:kern w:val="0"/>
      <w:sz w:val="21"/>
      <w:szCs w:val="20"/>
    </w:rPr>
  </w:style>
  <w:style w:type="paragraph" w:customStyle="1" w:styleId="342">
    <w:name w:val="正文 A"/>
    <w:qFormat/>
    <w:uiPriority w:val="0"/>
    <w:pPr>
      <w:widowControl w:val="0"/>
      <w:jc w:val="both"/>
    </w:pPr>
    <w:rPr>
      <w:rFonts w:ascii="Calibri" w:hAnsi="Calibri" w:eastAsia="Calibri" w:cs="Calibri"/>
      <w:color w:val="000000"/>
      <w:kern w:val="2"/>
      <w:sz w:val="21"/>
      <w:szCs w:val="21"/>
      <w:u w:val="none" w:color="000000"/>
      <w:lang w:val="en-US" w:eastAsia="zh-CN" w:bidi="ar-SA"/>
    </w:rPr>
  </w:style>
  <w:style w:type="character" w:customStyle="1" w:styleId="343">
    <w:name w:val="_Style 342"/>
    <w:unhideWhenUsed/>
    <w:qFormat/>
    <w:uiPriority w:val="99"/>
    <w:rPr>
      <w:color w:val="605E5C"/>
      <w:shd w:val="clear" w:color="auto" w:fill="E1DFDD"/>
    </w:rPr>
  </w:style>
  <w:style w:type="paragraph" w:customStyle="1" w:styleId="344">
    <w:name w:val="List Paragraph1"/>
    <w:basedOn w:val="1"/>
    <w:qFormat/>
    <w:uiPriority w:val="34"/>
    <w:pPr>
      <w:ind w:firstLine="420" w:firstLineChars="200"/>
    </w:pPr>
    <w:rPr>
      <w:rFonts w:cs="黑体"/>
      <w:szCs w:val="22"/>
    </w:rPr>
  </w:style>
  <w:style w:type="paragraph" w:customStyle="1" w:styleId="345">
    <w:name w:val="正文_1_1"/>
    <w:qFormat/>
    <w:uiPriority w:val="0"/>
    <w:pPr>
      <w:widowControl w:val="0"/>
      <w:spacing w:after="160" w:line="278" w:lineRule="auto"/>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13028</Words>
  <Characters>14214</Characters>
  <Lines>267</Lines>
  <Paragraphs>75</Paragraphs>
  <TotalTime>5</TotalTime>
  <ScaleCrop>false</ScaleCrop>
  <LinksUpToDate>false</LinksUpToDate>
  <CharactersWithSpaces>14867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2024-04-15T08:50:00Z</dcterms:created>
  <dc:creator>he hang</dc:creator>
  <cp:lastModifiedBy>T</cp:lastModifiedBy>
  <cp:lastPrinted>2025-01-17T02:11:00Z</cp:lastPrinted>
  <dcterms:modified xsi:type="dcterms:W3CDTF">2025-03-27T08:43:23Z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7A44EB25327C4A29B752CB4301DA31B8_13</vt:lpwstr>
  </property>
  <property fmtid="{D5CDD505-2E9C-101B-9397-08002B2CF9AE}" pid="4" name="KSOTemplateDocerSaveRecord">
    <vt:lpwstr>eyJoZGlkIjoiYWNhNmFjZmQ0MTJhYmZhMzgxMzlmNDdmMDkxNmU3OWEiLCJ1c2VySWQiOiI2MzMxMzI1NTQifQ==</vt:lpwstr>
  </property>
</Properties>
</file>